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211A" w14:textId="60AA1A84" w:rsidR="00E405F5" w:rsidRPr="00D23302" w:rsidRDefault="001330A3" w:rsidP="00A962CF">
      <w:pPr>
        <w:jc w:val="center"/>
        <w:rPr>
          <w:b/>
          <w:bCs/>
          <w:sz w:val="28"/>
          <w:szCs w:val="28"/>
        </w:rPr>
      </w:pPr>
      <w:r w:rsidRPr="00D23302">
        <w:rPr>
          <w:b/>
          <w:bCs/>
          <w:sz w:val="28"/>
          <w:szCs w:val="28"/>
        </w:rPr>
        <w:t xml:space="preserve">Liverpool </w:t>
      </w:r>
      <w:r w:rsidR="00E405F5" w:rsidRPr="00D23302">
        <w:rPr>
          <w:b/>
          <w:bCs/>
          <w:sz w:val="28"/>
          <w:szCs w:val="28"/>
        </w:rPr>
        <w:t xml:space="preserve">VCFSE </w:t>
      </w:r>
      <w:r w:rsidRPr="00D23302">
        <w:rPr>
          <w:b/>
          <w:bCs/>
          <w:sz w:val="28"/>
          <w:szCs w:val="28"/>
        </w:rPr>
        <w:t>Health and Wellbeing Fund</w:t>
      </w:r>
    </w:p>
    <w:bookmarkStart w:id="0" w:name="_Toc153968804" w:displacedByCustomXml="next"/>
    <w:sdt>
      <w:sdtPr>
        <w:rPr>
          <w:rFonts w:eastAsiaTheme="minorHAnsi" w:cstheme="minorBidi"/>
          <w:color w:val="auto"/>
          <w:sz w:val="22"/>
          <w:szCs w:val="22"/>
        </w:rPr>
        <w:id w:val="-113898939"/>
        <w:docPartObj>
          <w:docPartGallery w:val="Table of Contents"/>
          <w:docPartUnique/>
        </w:docPartObj>
      </w:sdtPr>
      <w:sdtEndPr>
        <w:rPr>
          <w:b/>
          <w:bCs/>
          <w:noProof/>
        </w:rPr>
      </w:sdtEndPr>
      <w:sdtContent>
        <w:p w14:paraId="30E6D4C3" w14:textId="2D01FC4D" w:rsidR="001564C6" w:rsidRPr="00D23302" w:rsidRDefault="00CB28E5" w:rsidP="00D23302">
          <w:pPr>
            <w:pStyle w:val="Heading1"/>
            <w:numPr>
              <w:ilvl w:val="0"/>
              <w:numId w:val="0"/>
            </w:numPr>
            <w:ind w:left="720" w:hanging="720"/>
          </w:pPr>
          <w:r>
            <w:t>Contents</w:t>
          </w:r>
          <w:bookmarkEnd w:id="0"/>
          <w:r>
            <w:fldChar w:fldCharType="begin"/>
          </w:r>
          <w:r>
            <w:instrText xml:space="preserve"> TOC \o "1-3" \h \z \u </w:instrText>
          </w:r>
          <w:r>
            <w:fldChar w:fldCharType="separate"/>
          </w:r>
          <w:hyperlink w:anchor="_Toc153968804" w:history="1"/>
        </w:p>
        <w:p w14:paraId="227D0D64" w14:textId="5A58288A" w:rsidR="001564C6" w:rsidRDefault="0098375D">
          <w:pPr>
            <w:pStyle w:val="TOC1"/>
            <w:tabs>
              <w:tab w:val="left" w:pos="480"/>
              <w:tab w:val="right" w:leader="dot" w:pos="9016"/>
            </w:tabs>
            <w:rPr>
              <w:rFonts w:eastAsiaTheme="minorEastAsia"/>
              <w:noProof/>
              <w:kern w:val="2"/>
              <w:sz w:val="24"/>
              <w:szCs w:val="24"/>
              <w:lang w:eastAsia="en-GB"/>
              <w14:ligatures w14:val="standardContextual"/>
            </w:rPr>
          </w:pPr>
          <w:hyperlink w:anchor="_Toc153968805" w:history="1">
            <w:r w:rsidR="001564C6" w:rsidRPr="0098532B">
              <w:rPr>
                <w:rStyle w:val="Hyperlink"/>
                <w:noProof/>
              </w:rPr>
              <w:t>1.</w:t>
            </w:r>
            <w:r w:rsidR="001564C6">
              <w:rPr>
                <w:rFonts w:eastAsiaTheme="minorEastAsia"/>
                <w:noProof/>
                <w:kern w:val="2"/>
                <w:sz w:val="24"/>
                <w:szCs w:val="24"/>
                <w:lang w:eastAsia="en-GB"/>
                <w14:ligatures w14:val="standardContextual"/>
              </w:rPr>
              <w:tab/>
            </w:r>
            <w:r w:rsidR="001564C6" w:rsidRPr="0098532B">
              <w:rPr>
                <w:rStyle w:val="Hyperlink"/>
                <w:noProof/>
              </w:rPr>
              <w:t>Background</w:t>
            </w:r>
            <w:r w:rsidR="001564C6">
              <w:rPr>
                <w:noProof/>
                <w:webHidden/>
              </w:rPr>
              <w:tab/>
            </w:r>
            <w:r w:rsidR="001564C6">
              <w:rPr>
                <w:noProof/>
                <w:webHidden/>
              </w:rPr>
              <w:fldChar w:fldCharType="begin"/>
            </w:r>
            <w:r w:rsidR="001564C6">
              <w:rPr>
                <w:noProof/>
                <w:webHidden/>
              </w:rPr>
              <w:instrText xml:space="preserve"> PAGEREF _Toc153968805 \h </w:instrText>
            </w:r>
            <w:r w:rsidR="001564C6">
              <w:rPr>
                <w:noProof/>
                <w:webHidden/>
              </w:rPr>
            </w:r>
            <w:r w:rsidR="001564C6">
              <w:rPr>
                <w:noProof/>
                <w:webHidden/>
              </w:rPr>
              <w:fldChar w:fldCharType="separate"/>
            </w:r>
            <w:r w:rsidR="00221930">
              <w:rPr>
                <w:noProof/>
                <w:webHidden/>
              </w:rPr>
              <w:t>1</w:t>
            </w:r>
            <w:r w:rsidR="001564C6">
              <w:rPr>
                <w:noProof/>
                <w:webHidden/>
              </w:rPr>
              <w:fldChar w:fldCharType="end"/>
            </w:r>
          </w:hyperlink>
        </w:p>
        <w:p w14:paraId="327772EC" w14:textId="3713ADA5" w:rsidR="001564C6" w:rsidRDefault="0098375D">
          <w:pPr>
            <w:pStyle w:val="TOC1"/>
            <w:tabs>
              <w:tab w:val="left" w:pos="480"/>
              <w:tab w:val="right" w:leader="dot" w:pos="9016"/>
            </w:tabs>
            <w:rPr>
              <w:rFonts w:eastAsiaTheme="minorEastAsia"/>
              <w:noProof/>
              <w:kern w:val="2"/>
              <w:sz w:val="24"/>
              <w:szCs w:val="24"/>
              <w:lang w:eastAsia="en-GB"/>
              <w14:ligatures w14:val="standardContextual"/>
            </w:rPr>
          </w:pPr>
          <w:hyperlink w:anchor="_Toc153968806" w:history="1">
            <w:r w:rsidR="001564C6" w:rsidRPr="0098532B">
              <w:rPr>
                <w:rStyle w:val="Hyperlink"/>
                <w:noProof/>
              </w:rPr>
              <w:t>2.</w:t>
            </w:r>
            <w:r w:rsidR="001564C6">
              <w:rPr>
                <w:rFonts w:eastAsiaTheme="minorEastAsia"/>
                <w:noProof/>
                <w:kern w:val="2"/>
                <w:sz w:val="24"/>
                <w:szCs w:val="24"/>
                <w:lang w:eastAsia="en-GB"/>
                <w14:ligatures w14:val="standardContextual"/>
              </w:rPr>
              <w:tab/>
            </w:r>
            <w:r w:rsidR="001564C6" w:rsidRPr="0098532B">
              <w:rPr>
                <w:rStyle w:val="Hyperlink"/>
                <w:noProof/>
              </w:rPr>
              <w:t>Introduction to Health and Wellbeing Fund</w:t>
            </w:r>
            <w:r w:rsidR="001564C6">
              <w:rPr>
                <w:noProof/>
                <w:webHidden/>
              </w:rPr>
              <w:tab/>
            </w:r>
            <w:r w:rsidR="001564C6">
              <w:rPr>
                <w:noProof/>
                <w:webHidden/>
              </w:rPr>
              <w:fldChar w:fldCharType="begin"/>
            </w:r>
            <w:r w:rsidR="001564C6">
              <w:rPr>
                <w:noProof/>
                <w:webHidden/>
              </w:rPr>
              <w:instrText xml:space="preserve"> PAGEREF _Toc153968806 \h </w:instrText>
            </w:r>
            <w:r w:rsidR="001564C6">
              <w:rPr>
                <w:noProof/>
                <w:webHidden/>
              </w:rPr>
            </w:r>
            <w:r w:rsidR="001564C6">
              <w:rPr>
                <w:noProof/>
                <w:webHidden/>
              </w:rPr>
              <w:fldChar w:fldCharType="separate"/>
            </w:r>
            <w:r w:rsidR="00221930">
              <w:rPr>
                <w:noProof/>
                <w:webHidden/>
              </w:rPr>
              <w:t>1</w:t>
            </w:r>
            <w:r w:rsidR="001564C6">
              <w:rPr>
                <w:noProof/>
                <w:webHidden/>
              </w:rPr>
              <w:fldChar w:fldCharType="end"/>
            </w:r>
          </w:hyperlink>
        </w:p>
        <w:p w14:paraId="2B80870D" w14:textId="646A3F58" w:rsidR="001564C6" w:rsidRDefault="0098375D">
          <w:pPr>
            <w:pStyle w:val="TOC1"/>
            <w:tabs>
              <w:tab w:val="left" w:pos="480"/>
              <w:tab w:val="right" w:leader="dot" w:pos="9016"/>
            </w:tabs>
            <w:rPr>
              <w:rFonts w:eastAsiaTheme="minorEastAsia"/>
              <w:noProof/>
              <w:kern w:val="2"/>
              <w:sz w:val="24"/>
              <w:szCs w:val="24"/>
              <w:lang w:eastAsia="en-GB"/>
              <w14:ligatures w14:val="standardContextual"/>
            </w:rPr>
          </w:pPr>
          <w:hyperlink w:anchor="_Toc153968807" w:history="1">
            <w:r w:rsidR="001564C6" w:rsidRPr="0098532B">
              <w:rPr>
                <w:rStyle w:val="Hyperlink"/>
                <w:noProof/>
              </w:rPr>
              <w:t>3.</w:t>
            </w:r>
            <w:r w:rsidR="001564C6">
              <w:rPr>
                <w:rFonts w:eastAsiaTheme="minorEastAsia"/>
                <w:noProof/>
                <w:kern w:val="2"/>
                <w:sz w:val="24"/>
                <w:szCs w:val="24"/>
                <w:lang w:eastAsia="en-GB"/>
                <w14:ligatures w14:val="standardContextual"/>
              </w:rPr>
              <w:tab/>
            </w:r>
            <w:r w:rsidR="001564C6" w:rsidRPr="0098532B">
              <w:rPr>
                <w:rStyle w:val="Hyperlink"/>
                <w:noProof/>
              </w:rPr>
              <w:t>GUIDANCE NOTES FOR APPLICANTS</w:t>
            </w:r>
            <w:r w:rsidR="001564C6">
              <w:rPr>
                <w:noProof/>
                <w:webHidden/>
              </w:rPr>
              <w:tab/>
            </w:r>
            <w:r w:rsidR="001564C6">
              <w:rPr>
                <w:noProof/>
                <w:webHidden/>
              </w:rPr>
              <w:fldChar w:fldCharType="begin"/>
            </w:r>
            <w:r w:rsidR="001564C6">
              <w:rPr>
                <w:noProof/>
                <w:webHidden/>
              </w:rPr>
              <w:instrText xml:space="preserve"> PAGEREF _Toc153968807 \h </w:instrText>
            </w:r>
            <w:r w:rsidR="001564C6">
              <w:rPr>
                <w:noProof/>
                <w:webHidden/>
              </w:rPr>
            </w:r>
            <w:r w:rsidR="001564C6">
              <w:rPr>
                <w:noProof/>
                <w:webHidden/>
              </w:rPr>
              <w:fldChar w:fldCharType="separate"/>
            </w:r>
            <w:r w:rsidR="00221930">
              <w:rPr>
                <w:noProof/>
                <w:webHidden/>
              </w:rPr>
              <w:t>3</w:t>
            </w:r>
            <w:r w:rsidR="001564C6">
              <w:rPr>
                <w:noProof/>
                <w:webHidden/>
              </w:rPr>
              <w:fldChar w:fldCharType="end"/>
            </w:r>
          </w:hyperlink>
        </w:p>
        <w:p w14:paraId="7CC9C3DA" w14:textId="1AF98675" w:rsidR="001564C6" w:rsidRDefault="0098375D" w:rsidP="001564C6">
          <w:pPr>
            <w:pStyle w:val="TOC2"/>
            <w:tabs>
              <w:tab w:val="right" w:leader="dot" w:pos="9016"/>
            </w:tabs>
            <w:ind w:firstLine="489"/>
            <w:rPr>
              <w:rFonts w:eastAsiaTheme="minorEastAsia"/>
              <w:noProof/>
              <w:kern w:val="2"/>
              <w:sz w:val="24"/>
              <w:szCs w:val="24"/>
              <w:lang w:eastAsia="en-GB"/>
              <w14:ligatures w14:val="standardContextual"/>
            </w:rPr>
          </w:pPr>
          <w:hyperlink w:anchor="_Toc153968808" w:history="1">
            <w:r w:rsidR="001564C6" w:rsidRPr="0098532B">
              <w:rPr>
                <w:rStyle w:val="Hyperlink"/>
                <w:noProof/>
              </w:rPr>
              <w:t>Participants</w:t>
            </w:r>
            <w:r w:rsidR="001564C6">
              <w:rPr>
                <w:noProof/>
                <w:webHidden/>
              </w:rPr>
              <w:tab/>
            </w:r>
            <w:r w:rsidR="001564C6">
              <w:rPr>
                <w:noProof/>
                <w:webHidden/>
              </w:rPr>
              <w:fldChar w:fldCharType="begin"/>
            </w:r>
            <w:r w:rsidR="001564C6">
              <w:rPr>
                <w:noProof/>
                <w:webHidden/>
              </w:rPr>
              <w:instrText xml:space="preserve"> PAGEREF _Toc153968808 \h </w:instrText>
            </w:r>
            <w:r w:rsidR="001564C6">
              <w:rPr>
                <w:noProof/>
                <w:webHidden/>
              </w:rPr>
            </w:r>
            <w:r w:rsidR="001564C6">
              <w:rPr>
                <w:noProof/>
                <w:webHidden/>
              </w:rPr>
              <w:fldChar w:fldCharType="separate"/>
            </w:r>
            <w:r w:rsidR="00221930">
              <w:rPr>
                <w:noProof/>
                <w:webHidden/>
              </w:rPr>
              <w:t>3</w:t>
            </w:r>
            <w:r w:rsidR="001564C6">
              <w:rPr>
                <w:noProof/>
                <w:webHidden/>
              </w:rPr>
              <w:fldChar w:fldCharType="end"/>
            </w:r>
          </w:hyperlink>
        </w:p>
        <w:p w14:paraId="636B82FF" w14:textId="55AAA71C" w:rsidR="001564C6" w:rsidRDefault="0098375D" w:rsidP="001564C6">
          <w:pPr>
            <w:pStyle w:val="TOC2"/>
            <w:tabs>
              <w:tab w:val="right" w:leader="dot" w:pos="9016"/>
            </w:tabs>
            <w:ind w:firstLine="489"/>
            <w:rPr>
              <w:rFonts w:eastAsiaTheme="minorEastAsia"/>
              <w:noProof/>
              <w:kern w:val="2"/>
              <w:sz w:val="24"/>
              <w:szCs w:val="24"/>
              <w:lang w:eastAsia="en-GB"/>
              <w14:ligatures w14:val="standardContextual"/>
            </w:rPr>
          </w:pPr>
          <w:hyperlink w:anchor="_Toc153968809" w:history="1">
            <w:r w:rsidR="001564C6" w:rsidRPr="0098532B">
              <w:rPr>
                <w:rStyle w:val="Hyperlink"/>
                <w:noProof/>
              </w:rPr>
              <w:t>Outcomes</w:t>
            </w:r>
            <w:r w:rsidR="001564C6">
              <w:rPr>
                <w:noProof/>
                <w:webHidden/>
              </w:rPr>
              <w:tab/>
            </w:r>
            <w:r w:rsidR="001564C6">
              <w:rPr>
                <w:noProof/>
                <w:webHidden/>
              </w:rPr>
              <w:fldChar w:fldCharType="begin"/>
            </w:r>
            <w:r w:rsidR="001564C6">
              <w:rPr>
                <w:noProof/>
                <w:webHidden/>
              </w:rPr>
              <w:instrText xml:space="preserve"> PAGEREF _Toc153968809 \h </w:instrText>
            </w:r>
            <w:r w:rsidR="001564C6">
              <w:rPr>
                <w:noProof/>
                <w:webHidden/>
              </w:rPr>
            </w:r>
            <w:r w:rsidR="001564C6">
              <w:rPr>
                <w:noProof/>
                <w:webHidden/>
              </w:rPr>
              <w:fldChar w:fldCharType="separate"/>
            </w:r>
            <w:r w:rsidR="00221930">
              <w:rPr>
                <w:noProof/>
                <w:webHidden/>
              </w:rPr>
              <w:t>4</w:t>
            </w:r>
            <w:r w:rsidR="001564C6">
              <w:rPr>
                <w:noProof/>
                <w:webHidden/>
              </w:rPr>
              <w:fldChar w:fldCharType="end"/>
            </w:r>
          </w:hyperlink>
        </w:p>
        <w:p w14:paraId="2E8D53C5" w14:textId="50464BA9" w:rsidR="001564C6" w:rsidRDefault="0098375D" w:rsidP="001564C6">
          <w:pPr>
            <w:pStyle w:val="TOC2"/>
            <w:tabs>
              <w:tab w:val="right" w:leader="dot" w:pos="9016"/>
            </w:tabs>
            <w:ind w:firstLine="489"/>
            <w:rPr>
              <w:rFonts w:eastAsiaTheme="minorEastAsia"/>
              <w:noProof/>
              <w:kern w:val="2"/>
              <w:sz w:val="24"/>
              <w:szCs w:val="24"/>
              <w:lang w:eastAsia="en-GB"/>
              <w14:ligatures w14:val="standardContextual"/>
            </w:rPr>
          </w:pPr>
          <w:hyperlink w:anchor="_Toc153968810" w:history="1">
            <w:r w:rsidR="001564C6" w:rsidRPr="0098532B">
              <w:rPr>
                <w:rStyle w:val="Hyperlink"/>
                <w:noProof/>
              </w:rPr>
              <w:t>Eligible Organisations</w:t>
            </w:r>
            <w:r w:rsidR="001564C6">
              <w:rPr>
                <w:noProof/>
                <w:webHidden/>
              </w:rPr>
              <w:tab/>
            </w:r>
            <w:r w:rsidR="001564C6">
              <w:rPr>
                <w:noProof/>
                <w:webHidden/>
              </w:rPr>
              <w:fldChar w:fldCharType="begin"/>
            </w:r>
            <w:r w:rsidR="001564C6">
              <w:rPr>
                <w:noProof/>
                <w:webHidden/>
              </w:rPr>
              <w:instrText xml:space="preserve"> PAGEREF _Toc153968810 \h </w:instrText>
            </w:r>
            <w:r w:rsidR="001564C6">
              <w:rPr>
                <w:noProof/>
                <w:webHidden/>
              </w:rPr>
            </w:r>
            <w:r w:rsidR="001564C6">
              <w:rPr>
                <w:noProof/>
                <w:webHidden/>
              </w:rPr>
              <w:fldChar w:fldCharType="separate"/>
            </w:r>
            <w:r w:rsidR="00221930">
              <w:rPr>
                <w:noProof/>
                <w:webHidden/>
              </w:rPr>
              <w:t>4</w:t>
            </w:r>
            <w:r w:rsidR="001564C6">
              <w:rPr>
                <w:noProof/>
                <w:webHidden/>
              </w:rPr>
              <w:fldChar w:fldCharType="end"/>
            </w:r>
          </w:hyperlink>
        </w:p>
        <w:p w14:paraId="7ED36BF4" w14:textId="03745402" w:rsidR="001564C6" w:rsidRDefault="0098375D" w:rsidP="001564C6">
          <w:pPr>
            <w:pStyle w:val="TOC2"/>
            <w:tabs>
              <w:tab w:val="right" w:leader="dot" w:pos="9016"/>
            </w:tabs>
            <w:ind w:firstLine="489"/>
            <w:rPr>
              <w:rFonts w:eastAsiaTheme="minorEastAsia"/>
              <w:noProof/>
              <w:kern w:val="2"/>
              <w:sz w:val="24"/>
              <w:szCs w:val="24"/>
              <w:lang w:eastAsia="en-GB"/>
              <w14:ligatures w14:val="standardContextual"/>
            </w:rPr>
          </w:pPr>
          <w:hyperlink w:anchor="_Toc153968811" w:history="1">
            <w:r w:rsidR="001564C6" w:rsidRPr="0098532B">
              <w:rPr>
                <w:rStyle w:val="Hyperlink"/>
                <w:noProof/>
              </w:rPr>
              <w:t>Ward Map</w:t>
            </w:r>
            <w:r w:rsidR="001564C6">
              <w:rPr>
                <w:noProof/>
                <w:webHidden/>
              </w:rPr>
              <w:tab/>
            </w:r>
            <w:r w:rsidR="001564C6">
              <w:rPr>
                <w:noProof/>
                <w:webHidden/>
              </w:rPr>
              <w:fldChar w:fldCharType="begin"/>
            </w:r>
            <w:r w:rsidR="001564C6">
              <w:rPr>
                <w:noProof/>
                <w:webHidden/>
              </w:rPr>
              <w:instrText xml:space="preserve"> PAGEREF _Toc153968811 \h </w:instrText>
            </w:r>
            <w:r w:rsidR="001564C6">
              <w:rPr>
                <w:noProof/>
                <w:webHidden/>
              </w:rPr>
            </w:r>
            <w:r w:rsidR="001564C6">
              <w:rPr>
                <w:noProof/>
                <w:webHidden/>
              </w:rPr>
              <w:fldChar w:fldCharType="separate"/>
            </w:r>
            <w:r w:rsidR="00221930">
              <w:rPr>
                <w:noProof/>
                <w:webHidden/>
              </w:rPr>
              <w:t>5</w:t>
            </w:r>
            <w:r w:rsidR="001564C6">
              <w:rPr>
                <w:noProof/>
                <w:webHidden/>
              </w:rPr>
              <w:fldChar w:fldCharType="end"/>
            </w:r>
          </w:hyperlink>
        </w:p>
        <w:p w14:paraId="583BACA4" w14:textId="219A8B64" w:rsidR="00CB28E5" w:rsidRDefault="0098375D" w:rsidP="00BD4B2E">
          <w:pPr>
            <w:pStyle w:val="TOC1"/>
            <w:tabs>
              <w:tab w:val="left" w:pos="480"/>
              <w:tab w:val="right" w:leader="dot" w:pos="9016"/>
            </w:tabs>
          </w:pPr>
          <w:hyperlink w:anchor="_Toc153968812" w:history="1">
            <w:r w:rsidR="001564C6" w:rsidRPr="0098532B">
              <w:rPr>
                <w:rStyle w:val="Hyperlink"/>
                <w:noProof/>
              </w:rPr>
              <w:t>4.</w:t>
            </w:r>
            <w:r w:rsidR="001564C6">
              <w:rPr>
                <w:rFonts w:eastAsiaTheme="minorEastAsia"/>
                <w:noProof/>
                <w:kern w:val="2"/>
                <w:sz w:val="24"/>
                <w:szCs w:val="24"/>
                <w:lang w:eastAsia="en-GB"/>
                <w14:ligatures w14:val="standardContextual"/>
              </w:rPr>
              <w:tab/>
            </w:r>
            <w:r w:rsidR="001564C6" w:rsidRPr="0098532B">
              <w:rPr>
                <w:rStyle w:val="Hyperlink"/>
                <w:noProof/>
              </w:rPr>
              <w:t>TIMELINE</w:t>
            </w:r>
            <w:r w:rsidR="001564C6">
              <w:rPr>
                <w:noProof/>
                <w:webHidden/>
              </w:rPr>
              <w:tab/>
            </w:r>
            <w:r w:rsidR="001564C6">
              <w:rPr>
                <w:noProof/>
                <w:webHidden/>
              </w:rPr>
              <w:fldChar w:fldCharType="begin"/>
            </w:r>
            <w:r w:rsidR="001564C6">
              <w:rPr>
                <w:noProof/>
                <w:webHidden/>
              </w:rPr>
              <w:instrText xml:space="preserve"> PAGEREF _Toc153968812 \h </w:instrText>
            </w:r>
            <w:r w:rsidR="001564C6">
              <w:rPr>
                <w:noProof/>
                <w:webHidden/>
              </w:rPr>
            </w:r>
            <w:r w:rsidR="001564C6">
              <w:rPr>
                <w:noProof/>
                <w:webHidden/>
              </w:rPr>
              <w:fldChar w:fldCharType="separate"/>
            </w:r>
            <w:r w:rsidR="00221930">
              <w:rPr>
                <w:noProof/>
                <w:webHidden/>
              </w:rPr>
              <w:t>6</w:t>
            </w:r>
            <w:r w:rsidR="001564C6">
              <w:rPr>
                <w:noProof/>
                <w:webHidden/>
              </w:rPr>
              <w:fldChar w:fldCharType="end"/>
            </w:r>
          </w:hyperlink>
          <w:r w:rsidR="00CB28E5">
            <w:rPr>
              <w:b/>
              <w:bCs/>
              <w:noProof/>
            </w:rPr>
            <w:fldChar w:fldCharType="end"/>
          </w:r>
        </w:p>
      </w:sdtContent>
    </w:sdt>
    <w:p w14:paraId="132D1855" w14:textId="77777777" w:rsidR="005F6F1E" w:rsidRPr="007653BC" w:rsidRDefault="005F6F1E" w:rsidP="005F6F1E">
      <w:pPr>
        <w:rPr>
          <w:b/>
          <w:bCs/>
        </w:rPr>
      </w:pPr>
    </w:p>
    <w:p w14:paraId="129D21D7" w14:textId="41A6D674" w:rsidR="00363503" w:rsidRPr="00196E1B" w:rsidRDefault="00363503" w:rsidP="00196E1B">
      <w:pPr>
        <w:pStyle w:val="Heading1"/>
      </w:pPr>
      <w:bookmarkStart w:id="1" w:name="_Toc153968805"/>
      <w:r w:rsidRPr="00196E1B">
        <w:t>Background</w:t>
      </w:r>
      <w:bookmarkEnd w:id="1"/>
    </w:p>
    <w:p w14:paraId="19333F50" w14:textId="353A24A8" w:rsidR="00491147" w:rsidRPr="00363503" w:rsidRDefault="00733614" w:rsidP="00363503">
      <w:pPr>
        <w:shd w:val="clear" w:color="auto" w:fill="FFFFFF"/>
        <w:spacing w:before="100" w:beforeAutospacing="1" w:after="100" w:afterAutospacing="1"/>
        <w:ind w:right="-46"/>
        <w:rPr>
          <w:rFonts w:cstheme="minorHAnsi"/>
        </w:rPr>
      </w:pPr>
      <w:r w:rsidRPr="00824215">
        <w:rPr>
          <w:rFonts w:ascii="Arial" w:hAnsi="Arial" w:cs="Arial"/>
          <w:noProof/>
          <w:lang w:eastAsia="en-GB"/>
        </w:rPr>
        <w:drawing>
          <wp:anchor distT="0" distB="0" distL="114300" distR="114300" simplePos="0" relativeHeight="251658240" behindDoc="1" locked="0" layoutInCell="1" allowOverlap="1" wp14:anchorId="34EA5E62" wp14:editId="2C211A87">
            <wp:simplePos x="0" y="0"/>
            <wp:positionH relativeFrom="margin">
              <wp:align>left</wp:align>
            </wp:positionH>
            <wp:positionV relativeFrom="paragraph">
              <wp:posOffset>13970</wp:posOffset>
            </wp:positionV>
            <wp:extent cx="1743075" cy="2412365"/>
            <wp:effectExtent l="0" t="0" r="9525" b="6985"/>
            <wp:wrapTight wrapText="bothSides">
              <wp:wrapPolygon edited="0">
                <wp:start x="0" y="0"/>
                <wp:lineTo x="0" y="21492"/>
                <wp:lineTo x="21482" y="21492"/>
                <wp:lineTo x="21482" y="0"/>
                <wp:lineTo x="0" y="0"/>
              </wp:wrapPolygon>
            </wp:wrapTight>
            <wp:docPr id="2" name="Picture 2" descr="C:\Users\mahonec\AppData\Local\Microsoft\Windows\Temporary Internet Files\Content.Outlook\J0G902KT\Sn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honec\AppData\Local\Microsoft\Windows\Temporary Internet Files\Content.Outlook\J0G902KT\Snip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241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147">
        <w:rPr>
          <w:rFonts w:ascii="Arial" w:hAnsi="Arial" w:cs="Arial"/>
        </w:rPr>
        <w:t>The</w:t>
      </w:r>
      <w:r w:rsidR="00491147" w:rsidRPr="00363503">
        <w:rPr>
          <w:rFonts w:cstheme="minorHAnsi"/>
        </w:rPr>
        <w:t xml:space="preserve"> NHS in Liverpool is committed to playing its part in improving the health and wellbeing of the local population. </w:t>
      </w:r>
      <w:r w:rsidR="00363503" w:rsidRPr="00363503">
        <w:rPr>
          <w:rFonts w:cstheme="minorHAnsi"/>
        </w:rPr>
        <w:t>Many people come to the NHS</w:t>
      </w:r>
      <w:r w:rsidR="00491147" w:rsidRPr="00363503">
        <w:rPr>
          <w:rFonts w:cstheme="minorHAnsi"/>
        </w:rPr>
        <w:t xml:space="preserve"> with a range of needs that health services are ill-equipped to meet.</w:t>
      </w:r>
      <w:r w:rsidR="00363503" w:rsidRPr="00363503">
        <w:rPr>
          <w:rFonts w:cstheme="minorHAnsi"/>
        </w:rPr>
        <w:t xml:space="preserve"> Some people are reluctant to approach NHS services.</w:t>
      </w:r>
      <w:r w:rsidR="00491147" w:rsidRPr="00363503">
        <w:rPr>
          <w:rFonts w:cstheme="minorHAnsi"/>
        </w:rPr>
        <w:t xml:space="preserve"> The effects of social deprivation, the interrelatedness of mental and physical health, the demographic and changing epidemiology, all demand an alert, joined up and person-centred delivery model with capacity to work preventatively.</w:t>
      </w:r>
    </w:p>
    <w:p w14:paraId="279F5AAF" w14:textId="38426F70" w:rsidR="00C036F0" w:rsidRDefault="00491147" w:rsidP="00363503">
      <w:pPr>
        <w:autoSpaceDE w:val="0"/>
        <w:autoSpaceDN w:val="0"/>
        <w:adjustRightInd w:val="0"/>
        <w:spacing w:before="64" w:after="0"/>
        <w:ind w:right="-46"/>
        <w:rPr>
          <w:rFonts w:cstheme="minorHAnsi"/>
          <w:bCs/>
        </w:rPr>
      </w:pPr>
      <w:r w:rsidRPr="00363503">
        <w:rPr>
          <w:rFonts w:cstheme="minorHAnsi"/>
        </w:rPr>
        <w:t>With this challenge in mind, improving the way health services routinely respond to non-clinical need was made a central plank of the</w:t>
      </w:r>
      <w:r w:rsidR="00C036F0" w:rsidRPr="00363503">
        <w:rPr>
          <w:rFonts w:cstheme="minorHAnsi"/>
        </w:rPr>
        <w:t xml:space="preserve"> </w:t>
      </w:r>
      <w:r w:rsidRPr="00363503">
        <w:rPr>
          <w:rFonts w:cstheme="minorHAnsi"/>
        </w:rPr>
        <w:t xml:space="preserve">One Liverpool </w:t>
      </w:r>
      <w:r w:rsidR="00363503" w:rsidRPr="00363503">
        <w:rPr>
          <w:rFonts w:cstheme="minorHAnsi"/>
        </w:rPr>
        <w:t>Health Strategy</w:t>
      </w:r>
      <w:r w:rsidRPr="00363503">
        <w:rPr>
          <w:rFonts w:cstheme="minorHAnsi"/>
        </w:rPr>
        <w:t>.</w:t>
      </w:r>
      <w:r w:rsidR="00C036F0" w:rsidRPr="00363503">
        <w:rPr>
          <w:rFonts w:cstheme="minorHAnsi"/>
        </w:rPr>
        <w:t xml:space="preserve"> Conversations</w:t>
      </w:r>
      <w:r w:rsidRPr="00363503">
        <w:rPr>
          <w:rFonts w:cstheme="minorHAnsi"/>
        </w:rPr>
        <w:t xml:space="preserve"> about wellbeing, asset-based approaches, independence, self-care, support networks and so on, </w:t>
      </w:r>
      <w:r w:rsidR="00543536" w:rsidRPr="00363503">
        <w:rPr>
          <w:rFonts w:cstheme="minorHAnsi"/>
        </w:rPr>
        <w:t>are seen as a vital part of the solution</w:t>
      </w:r>
      <w:r w:rsidRPr="00363503">
        <w:rPr>
          <w:rFonts w:cstheme="minorHAnsi"/>
        </w:rPr>
        <w:t>. This is culture-changing work, and</w:t>
      </w:r>
      <w:r w:rsidR="00543536" w:rsidRPr="00363503">
        <w:rPr>
          <w:rFonts w:cstheme="minorHAnsi"/>
        </w:rPr>
        <w:t xml:space="preserve"> </w:t>
      </w:r>
      <w:r w:rsidR="00543536" w:rsidRPr="00363503">
        <w:rPr>
          <w:rFonts w:cstheme="minorHAnsi"/>
          <w:lang w:eastAsia="en-GB"/>
        </w:rPr>
        <w:t xml:space="preserve">social prescribing is increasingly being seen as a principal mechanism </w:t>
      </w:r>
      <w:r w:rsidR="00543536" w:rsidRPr="00363503">
        <w:rPr>
          <w:rFonts w:cstheme="minorHAnsi"/>
        </w:rPr>
        <w:t xml:space="preserve">for helping achieve this change. It cannot be done without working collaboratively with </w:t>
      </w:r>
      <w:r w:rsidR="00363503" w:rsidRPr="00363503">
        <w:rPr>
          <w:rFonts w:cstheme="minorHAnsi"/>
        </w:rPr>
        <w:t>VCFSE partners</w:t>
      </w:r>
      <w:r w:rsidR="00543536" w:rsidRPr="00363503">
        <w:rPr>
          <w:rFonts w:cstheme="minorHAnsi"/>
        </w:rPr>
        <w:t xml:space="preserve">. </w:t>
      </w:r>
      <w:r w:rsidR="00543536" w:rsidRPr="00363503">
        <w:rPr>
          <w:rFonts w:cstheme="minorHAnsi"/>
          <w:bCs/>
          <w:spacing w:val="8"/>
          <w:lang w:eastAsia="en-GB"/>
        </w:rPr>
        <w:t xml:space="preserve"> </w:t>
      </w:r>
      <w:r w:rsidR="00543536" w:rsidRPr="00363503">
        <w:rPr>
          <w:rFonts w:cstheme="minorHAnsi"/>
          <w:lang w:eastAsia="en-GB"/>
        </w:rPr>
        <w:t>What is the best way for the NHS to work with VC</w:t>
      </w:r>
      <w:r w:rsidR="00363503" w:rsidRPr="00363503">
        <w:rPr>
          <w:rFonts w:cstheme="minorHAnsi"/>
          <w:lang w:eastAsia="en-GB"/>
        </w:rPr>
        <w:t>F</w:t>
      </w:r>
      <w:r w:rsidR="00543536" w:rsidRPr="00363503">
        <w:rPr>
          <w:rFonts w:cstheme="minorHAnsi"/>
          <w:lang w:eastAsia="en-GB"/>
        </w:rPr>
        <w:t xml:space="preserve">SE partners to </w:t>
      </w:r>
      <w:r w:rsidR="00543536" w:rsidRPr="00363503">
        <w:rPr>
          <w:rFonts w:cstheme="minorHAnsi"/>
          <w:bCs/>
        </w:rPr>
        <w:t>release the potential benefits of social prescribing</w:t>
      </w:r>
      <w:r w:rsidR="00363503" w:rsidRPr="00363503">
        <w:rPr>
          <w:rFonts w:cstheme="minorHAnsi"/>
          <w:bCs/>
        </w:rPr>
        <w:t xml:space="preserve"> and strengthen skills for health and wellbeing within communities</w:t>
      </w:r>
      <w:r w:rsidR="00543536" w:rsidRPr="00363503">
        <w:rPr>
          <w:rFonts w:cstheme="minorHAnsi"/>
          <w:bCs/>
        </w:rPr>
        <w:t xml:space="preserve">? </w:t>
      </w:r>
      <w:r w:rsidR="00363503" w:rsidRPr="00363503">
        <w:rPr>
          <w:rFonts w:cstheme="minorHAnsi"/>
          <w:bCs/>
        </w:rPr>
        <w:t>These are some of the issue</w:t>
      </w:r>
      <w:r w:rsidR="00363503">
        <w:rPr>
          <w:rFonts w:cstheme="minorHAnsi"/>
          <w:bCs/>
        </w:rPr>
        <w:t>s</w:t>
      </w:r>
      <w:r w:rsidR="00363503" w:rsidRPr="00363503">
        <w:rPr>
          <w:rFonts w:cstheme="minorHAnsi"/>
          <w:bCs/>
        </w:rPr>
        <w:t xml:space="preserve"> we hope to explore</w:t>
      </w:r>
      <w:r w:rsidR="00363503">
        <w:rPr>
          <w:rFonts w:cstheme="minorHAnsi"/>
          <w:bCs/>
        </w:rPr>
        <w:t xml:space="preserve"> and develop</w:t>
      </w:r>
      <w:r w:rsidR="00363503" w:rsidRPr="00363503">
        <w:rPr>
          <w:rFonts w:cstheme="minorHAnsi"/>
          <w:bCs/>
        </w:rPr>
        <w:t xml:space="preserve"> with </w:t>
      </w:r>
      <w:r w:rsidR="00006EEC">
        <w:rPr>
          <w:rFonts w:cstheme="minorHAnsi"/>
          <w:bCs/>
        </w:rPr>
        <w:t>our</w:t>
      </w:r>
      <w:r w:rsidR="00363503" w:rsidRPr="00363503">
        <w:rPr>
          <w:rFonts w:cstheme="minorHAnsi"/>
          <w:bCs/>
        </w:rPr>
        <w:t xml:space="preserve"> Health and Wellbeing fund for Liverpool. </w:t>
      </w:r>
    </w:p>
    <w:p w14:paraId="5D207840" w14:textId="77777777" w:rsidR="00363503" w:rsidRPr="00363503" w:rsidRDefault="00363503" w:rsidP="00363503">
      <w:pPr>
        <w:autoSpaceDE w:val="0"/>
        <w:autoSpaceDN w:val="0"/>
        <w:adjustRightInd w:val="0"/>
        <w:spacing w:before="64" w:after="0"/>
        <w:ind w:right="-46"/>
        <w:rPr>
          <w:rFonts w:cstheme="minorHAnsi"/>
          <w:bCs/>
        </w:rPr>
      </w:pPr>
    </w:p>
    <w:p w14:paraId="222C40B3" w14:textId="77777777" w:rsidR="00363503" w:rsidRPr="00363503" w:rsidRDefault="00363503" w:rsidP="00196E1B">
      <w:pPr>
        <w:pStyle w:val="Heading1"/>
      </w:pPr>
      <w:bookmarkStart w:id="2" w:name="_Toc153968806"/>
      <w:r w:rsidRPr="00363503">
        <w:t>Introduction to Health and Wellbeing Fund</w:t>
      </w:r>
      <w:bookmarkEnd w:id="2"/>
    </w:p>
    <w:p w14:paraId="11800371" w14:textId="7FAAB768" w:rsidR="001330A3" w:rsidRPr="00733614" w:rsidRDefault="005B4841" w:rsidP="00733614">
      <w:pPr>
        <w:autoSpaceDE w:val="0"/>
        <w:autoSpaceDN w:val="0"/>
        <w:adjustRightInd w:val="0"/>
        <w:spacing w:before="64" w:after="0"/>
        <w:ind w:right="-46"/>
        <w:jc w:val="both"/>
        <w:rPr>
          <w:b/>
          <w:bCs/>
          <w:sz w:val="24"/>
          <w:szCs w:val="24"/>
        </w:rPr>
      </w:pPr>
      <w:bookmarkStart w:id="3" w:name="_Hlk106267160"/>
      <w:proofErr w:type="gramStart"/>
      <w:r>
        <w:t xml:space="preserve">NHS Cheshire and Merseyside Liverpool </w:t>
      </w:r>
      <w:r w:rsidR="00006EEC">
        <w:t xml:space="preserve">Place </w:t>
      </w:r>
      <w:r>
        <w:t>team,</w:t>
      </w:r>
      <w:proofErr w:type="gramEnd"/>
      <w:r w:rsidR="00B43F83">
        <w:t xml:space="preserve"> have </w:t>
      </w:r>
      <w:r w:rsidR="00006EEC">
        <w:t xml:space="preserve">created </w:t>
      </w:r>
      <w:r w:rsidR="00B43F83">
        <w:t>a</w:t>
      </w:r>
      <w:r w:rsidR="001330A3" w:rsidRPr="00602145">
        <w:t xml:space="preserve"> Health and Wellbeing Fund </w:t>
      </w:r>
      <w:r w:rsidR="00733614">
        <w:t xml:space="preserve">with the purpose of encouraging greater collaboration between </w:t>
      </w:r>
      <w:r w:rsidR="00A23F90">
        <w:t>the NHS</w:t>
      </w:r>
      <w:r w:rsidR="00864154">
        <w:t xml:space="preserve"> </w:t>
      </w:r>
      <w:r w:rsidR="00733614">
        <w:t>and</w:t>
      </w:r>
      <w:r w:rsidR="001330A3" w:rsidRPr="00602145">
        <w:t xml:space="preserve"> VC</w:t>
      </w:r>
      <w:r w:rsidR="00E405F5">
        <w:t>F</w:t>
      </w:r>
      <w:r w:rsidR="001330A3" w:rsidRPr="00602145">
        <w:t>SE organisations</w:t>
      </w:r>
      <w:r w:rsidR="00733614">
        <w:t xml:space="preserve"> to help tackle health inequalities. </w:t>
      </w:r>
      <w:r w:rsidR="0038563A">
        <w:t>The fund is part of the city’s heath strategy, One Liverpool and contributes to its core objectives</w:t>
      </w:r>
      <w:r w:rsidR="00006EEC">
        <w:t>*</w:t>
      </w:r>
      <w:r w:rsidR="00B24992">
        <w:t>:-</w:t>
      </w:r>
    </w:p>
    <w:bookmarkEnd w:id="3"/>
    <w:p w14:paraId="0BEC2F3D" w14:textId="7F6850FC" w:rsidR="00B24992" w:rsidRDefault="00B24992" w:rsidP="00B24992">
      <w:pPr>
        <w:jc w:val="center"/>
      </w:pPr>
      <w:r w:rsidRPr="00B24992">
        <w:rPr>
          <w:noProof/>
        </w:rPr>
        <w:lastRenderedPageBreak/>
        <w:drawing>
          <wp:inline distT="0" distB="0" distL="0" distR="0" wp14:anchorId="1BAC3325" wp14:editId="6D4D6B68">
            <wp:extent cx="4245610" cy="15098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490" cy="1561701"/>
                    </a:xfrm>
                    <a:prstGeom prst="rect">
                      <a:avLst/>
                    </a:prstGeom>
                    <a:noFill/>
                    <a:ln>
                      <a:noFill/>
                    </a:ln>
                  </pic:spPr>
                </pic:pic>
              </a:graphicData>
            </a:graphic>
          </wp:inline>
        </w:drawing>
      </w:r>
    </w:p>
    <w:p w14:paraId="51FF91D4" w14:textId="173A47DB" w:rsidR="009F10BC" w:rsidRPr="001B17AE" w:rsidRDefault="00006EEC" w:rsidP="00006EEC">
      <w:pPr>
        <w:jc w:val="right"/>
        <w:rPr>
          <w:sz w:val="18"/>
          <w:szCs w:val="18"/>
        </w:rPr>
      </w:pPr>
      <w:r w:rsidRPr="001B17AE">
        <w:rPr>
          <w:sz w:val="18"/>
          <w:szCs w:val="18"/>
        </w:rPr>
        <w:t>*</w:t>
      </w:r>
      <w:proofErr w:type="gramStart"/>
      <w:r w:rsidRPr="001B17AE">
        <w:rPr>
          <w:sz w:val="18"/>
          <w:szCs w:val="18"/>
        </w:rPr>
        <w:t>being</w:t>
      </w:r>
      <w:proofErr w:type="gramEnd"/>
      <w:r w:rsidRPr="001B17AE">
        <w:rPr>
          <w:sz w:val="18"/>
          <w:szCs w:val="18"/>
        </w:rPr>
        <w:t xml:space="preserve"> revised for Spring 2024, will be broadly as above.</w:t>
      </w:r>
    </w:p>
    <w:p w14:paraId="0D7B669E" w14:textId="7BC1B9BD" w:rsidR="00363503" w:rsidRDefault="00B24992" w:rsidP="001B17AE">
      <w:r w:rsidRPr="00B24992">
        <w:t xml:space="preserve">Health inequalities are the unjust and avoidable differences in people's health across the population and between specific population groups. </w:t>
      </w:r>
      <w:r w:rsidR="007653BC">
        <w:t xml:space="preserve">This fund is to support work with communities </w:t>
      </w:r>
      <w:r w:rsidR="0057350B">
        <w:t xml:space="preserve">who experience </w:t>
      </w:r>
      <w:r w:rsidR="0069775E">
        <w:t xml:space="preserve">significant </w:t>
      </w:r>
      <w:r w:rsidR="007653BC">
        <w:t>health inequalities</w:t>
      </w:r>
      <w:r w:rsidR="00363503">
        <w:t xml:space="preserve">. </w:t>
      </w:r>
      <w:r w:rsidR="00CF271F">
        <w:t xml:space="preserve">It is a small fund which can’t </w:t>
      </w:r>
      <w:r w:rsidR="00ED610A">
        <w:t xml:space="preserve">solve </w:t>
      </w:r>
      <w:r w:rsidR="00CF271F">
        <w:t>inequalities</w:t>
      </w:r>
      <w:r w:rsidR="00ED610A">
        <w:t>, but through it we hope to understand how the NHS and VCFSEs can work together better to support individuals and communities w</w:t>
      </w:r>
      <w:r w:rsidR="00BF4C64">
        <w:t>ho face</w:t>
      </w:r>
      <w:r w:rsidR="00ED610A">
        <w:t xml:space="preserve"> additional barriers to good health and wellbeing and invest in some community led approaches and solutions.</w:t>
      </w:r>
      <w:r w:rsidR="001B11B1">
        <w:t xml:space="preserve"> </w:t>
      </w:r>
    </w:p>
    <w:p w14:paraId="208DC606" w14:textId="75AEBA48" w:rsidR="006D26CF" w:rsidRDefault="00ED610A" w:rsidP="006D26CF">
      <w:r>
        <w:t>We have used evidence about health inequalities in targeting the investment.</w:t>
      </w:r>
      <w:r w:rsidR="006D26CF">
        <w:t xml:space="preserve"> This fund is only open to applications from projects working with the communities</w:t>
      </w:r>
      <w:r w:rsidR="00635A6D">
        <w:t xml:space="preserve"> </w:t>
      </w:r>
      <w:r w:rsidR="006D26CF">
        <w:t>set out in the guidance below.</w:t>
      </w:r>
      <w:r w:rsidR="0094035B">
        <w:t xml:space="preserve"> </w:t>
      </w:r>
    </w:p>
    <w:p w14:paraId="63904E89" w14:textId="3EC2A4F5" w:rsidR="006D26CF" w:rsidRPr="004406C0" w:rsidRDefault="0069775E" w:rsidP="006D26CF">
      <w:pPr>
        <w:rPr>
          <w:b/>
          <w:bCs/>
        </w:rPr>
      </w:pPr>
      <w:r>
        <w:rPr>
          <w:b/>
          <w:bCs/>
        </w:rPr>
        <w:t>T</w:t>
      </w:r>
      <w:r w:rsidR="006D26CF" w:rsidRPr="004406C0">
        <w:rPr>
          <w:b/>
          <w:bCs/>
        </w:rPr>
        <w:t>he VCFSE Health and Wellbeing Grant scheme aims to :-</w:t>
      </w:r>
    </w:p>
    <w:p w14:paraId="3221D894" w14:textId="2A5E7E21" w:rsidR="006D26CF" w:rsidRDefault="006D26CF" w:rsidP="006D26CF">
      <w:pPr>
        <w:pStyle w:val="ListParagraph"/>
        <w:numPr>
          <w:ilvl w:val="0"/>
          <w:numId w:val="2"/>
        </w:numPr>
      </w:pPr>
      <w:r>
        <w:t>Provide prevention and early intervention support for individuals in Liverpool communities who experience health inequalities</w:t>
      </w:r>
      <w:r w:rsidR="00353B11">
        <w:t>.</w:t>
      </w:r>
    </w:p>
    <w:p w14:paraId="577E7470" w14:textId="061987DE" w:rsidR="006D26CF" w:rsidRDefault="006D26CF" w:rsidP="006D26CF">
      <w:pPr>
        <w:pStyle w:val="ListParagraph"/>
        <w:numPr>
          <w:ilvl w:val="0"/>
          <w:numId w:val="2"/>
        </w:numPr>
      </w:pPr>
      <w:r>
        <w:t>Provide empowerment and wellbeing support for individuals in Liverpool communities who experience health inequalities</w:t>
      </w:r>
      <w:r w:rsidR="00353B11">
        <w:t>.</w:t>
      </w:r>
    </w:p>
    <w:p w14:paraId="2945E240" w14:textId="7A79739B" w:rsidR="006D26CF" w:rsidRPr="00635A6D" w:rsidRDefault="006D26CF" w:rsidP="006D26CF">
      <w:pPr>
        <w:pStyle w:val="ListParagraph"/>
        <w:numPr>
          <w:ilvl w:val="0"/>
          <w:numId w:val="2"/>
        </w:numPr>
      </w:pPr>
      <w:r w:rsidRPr="00635A6D">
        <w:t>Provide funding to VCFSE organisations who offer health and wellbeing support to communities experiencing health inequalities and patients referred by the NHS, linked to social prescribing schemes.</w:t>
      </w:r>
    </w:p>
    <w:p w14:paraId="79058ADC" w14:textId="77777777" w:rsidR="006D26CF" w:rsidRDefault="006D26CF" w:rsidP="006D26CF">
      <w:pPr>
        <w:pStyle w:val="ListParagraph"/>
        <w:numPr>
          <w:ilvl w:val="0"/>
          <w:numId w:val="2"/>
        </w:numPr>
      </w:pPr>
      <w:r>
        <w:t>Provide funding to VCFSE organisations for health and wellbeing support offered to people not using NHS services but who are experiencing or at risk of physical illness and/or mental distress and facing health inequalities.</w:t>
      </w:r>
    </w:p>
    <w:p w14:paraId="64AD236A" w14:textId="1C7DF4E4" w:rsidR="006D26CF" w:rsidRDefault="006D26CF" w:rsidP="006D26CF">
      <w:pPr>
        <w:pStyle w:val="ListParagraph"/>
        <w:numPr>
          <w:ilvl w:val="0"/>
          <w:numId w:val="2"/>
        </w:numPr>
      </w:pPr>
      <w:r>
        <w:t>Develop and test approaches for improved dialogue and joint working between NHS, PCNs and VCSE organisations</w:t>
      </w:r>
      <w:r w:rsidR="00353B11">
        <w:t>.</w:t>
      </w:r>
    </w:p>
    <w:p w14:paraId="61347F55" w14:textId="479E6822" w:rsidR="006D26CF" w:rsidRDefault="001F4D1B" w:rsidP="006D26CF">
      <w:r>
        <w:t xml:space="preserve">LCVS   </w:t>
      </w:r>
      <w:r w:rsidR="006D26CF">
        <w:t xml:space="preserve">are administering the scheme on behalf of </w:t>
      </w:r>
      <w:r w:rsidR="00B43F83">
        <w:t xml:space="preserve">the Liverpool area of NHS Cheshire and Merseyside </w:t>
      </w:r>
      <w:r w:rsidR="00D01003">
        <w:t>Integrated Care Board</w:t>
      </w:r>
      <w:r w:rsidR="00A8369E">
        <w:t xml:space="preserve"> (ICB)</w:t>
      </w:r>
      <w:r w:rsidR="00D01003">
        <w:t>, you can find out more about th</w:t>
      </w:r>
      <w:r w:rsidR="00E953C4">
        <w:t>e ICB</w:t>
      </w:r>
      <w:r w:rsidR="00D01003">
        <w:t xml:space="preserve"> </w:t>
      </w:r>
      <w:hyperlink r:id="rId13" w:history="1">
        <w:r w:rsidR="00D01003" w:rsidRPr="00D01003">
          <w:rPr>
            <w:rStyle w:val="Hyperlink"/>
          </w:rPr>
          <w:t>here</w:t>
        </w:r>
      </w:hyperlink>
      <w:r w:rsidR="00D01003">
        <w:t>.</w:t>
      </w:r>
    </w:p>
    <w:p w14:paraId="3605DA50" w14:textId="613DE93C" w:rsidR="006D26CF" w:rsidRDefault="006D26CF" w:rsidP="006D26CF">
      <w:r w:rsidRPr="00F8148C">
        <w:t xml:space="preserve">Applications will be for spend between </w:t>
      </w:r>
      <w:r w:rsidR="0069775E">
        <w:t>1</w:t>
      </w:r>
      <w:r w:rsidR="0069775E" w:rsidRPr="0069775E">
        <w:rPr>
          <w:vertAlign w:val="superscript"/>
        </w:rPr>
        <w:t>st</w:t>
      </w:r>
      <w:r w:rsidR="0069775E">
        <w:t xml:space="preserve"> April </w:t>
      </w:r>
      <w:r w:rsidRPr="00F8148C">
        <w:t>202</w:t>
      </w:r>
      <w:r w:rsidR="0069775E">
        <w:t>4</w:t>
      </w:r>
      <w:r w:rsidRPr="00F8148C">
        <w:t xml:space="preserve"> and </w:t>
      </w:r>
      <w:r w:rsidR="0069775E">
        <w:t>31</w:t>
      </w:r>
      <w:r w:rsidR="0069775E" w:rsidRPr="0069775E">
        <w:rPr>
          <w:vertAlign w:val="superscript"/>
        </w:rPr>
        <w:t>st</w:t>
      </w:r>
      <w:r w:rsidR="0069775E">
        <w:t xml:space="preserve"> </w:t>
      </w:r>
      <w:r w:rsidR="00F378D1" w:rsidRPr="00F8148C">
        <w:t>March</w:t>
      </w:r>
      <w:r w:rsidR="00AD20AA" w:rsidRPr="00F8148C">
        <w:t xml:space="preserve"> </w:t>
      </w:r>
      <w:r w:rsidRPr="00F8148C">
        <w:t>202</w:t>
      </w:r>
      <w:r w:rsidR="0069775E">
        <w:t>7</w:t>
      </w:r>
      <w:r w:rsidRPr="00F8148C">
        <w:t xml:space="preserve"> for sums of </w:t>
      </w:r>
      <w:r w:rsidR="00E953C4">
        <w:t xml:space="preserve">between </w:t>
      </w:r>
      <w:r w:rsidRPr="00F8148C">
        <w:t>£3,000</w:t>
      </w:r>
      <w:r w:rsidR="0069775E">
        <w:t xml:space="preserve"> each year </w:t>
      </w:r>
      <w:r w:rsidRPr="00F8148C">
        <w:t>up to a maximum of £30,000</w:t>
      </w:r>
      <w:r w:rsidR="00E953C4">
        <w:t xml:space="preserve"> </w:t>
      </w:r>
      <w:r w:rsidR="0069775E">
        <w:t>each year</w:t>
      </w:r>
      <w:r w:rsidRPr="00F8148C">
        <w:t>.  £</w:t>
      </w:r>
      <w:r w:rsidR="001F4D1B">
        <w:t>236</w:t>
      </w:r>
      <w:r w:rsidRPr="00F8148C">
        <w:t>,000</w:t>
      </w:r>
      <w:r w:rsidR="00FA6871">
        <w:t>*</w:t>
      </w:r>
      <w:r w:rsidR="00FA6871" w:rsidRPr="00BE3BEF">
        <w:rPr>
          <w:vertAlign w:val="superscript"/>
        </w:rPr>
        <w:t>1</w:t>
      </w:r>
      <w:r w:rsidR="00FA6871">
        <w:t xml:space="preserve"> </w:t>
      </w:r>
      <w:r w:rsidRPr="00F8148C">
        <w:t xml:space="preserve"> is available </w:t>
      </w:r>
      <w:r w:rsidR="001F4D1B">
        <w:t>in 2024/5 and £244, 949 is available in each year for 2025/6 and 2026/7</w:t>
      </w:r>
      <w:r w:rsidRPr="00F8148C">
        <w:t>and will be paid in instalments (on receipt of signed</w:t>
      </w:r>
      <w:r>
        <w:t xml:space="preserve"> offer letter, satisfactory progress</w:t>
      </w:r>
      <w:r w:rsidR="00BD7B7F">
        <w:t>,</w:t>
      </w:r>
      <w:r>
        <w:t xml:space="preserve"> </w:t>
      </w:r>
      <w:r w:rsidR="00E953C4">
        <w:t xml:space="preserve">and </w:t>
      </w:r>
      <w:r>
        <w:t>evaluation report</w:t>
      </w:r>
      <w:r w:rsidR="00E953C4">
        <w:t>s</w:t>
      </w:r>
      <w:r>
        <w:t xml:space="preserve">). </w:t>
      </w:r>
    </w:p>
    <w:p w14:paraId="1EADF853" w14:textId="54D59054" w:rsidR="006B4547" w:rsidRDefault="006D26CF" w:rsidP="006D26CF">
      <w:r w:rsidRPr="00412A9B">
        <w:t xml:space="preserve">Applications open </w:t>
      </w:r>
      <w:r w:rsidR="008539F3">
        <w:t>4</w:t>
      </w:r>
      <w:r w:rsidR="008539F3" w:rsidRPr="008539F3">
        <w:rPr>
          <w:vertAlign w:val="superscript"/>
        </w:rPr>
        <w:t>th</w:t>
      </w:r>
      <w:r w:rsidR="008539F3">
        <w:t xml:space="preserve"> </w:t>
      </w:r>
      <w:r w:rsidR="0069775E" w:rsidRPr="00412A9B">
        <w:t xml:space="preserve">January 2024 </w:t>
      </w:r>
      <w:r w:rsidRPr="00412A9B">
        <w:t xml:space="preserve">and a briefing about the fund will be held </w:t>
      </w:r>
      <w:r w:rsidR="008539F3">
        <w:t>11</w:t>
      </w:r>
      <w:r w:rsidR="008539F3" w:rsidRPr="008539F3">
        <w:rPr>
          <w:vertAlign w:val="superscript"/>
        </w:rPr>
        <w:t>th</w:t>
      </w:r>
      <w:r w:rsidR="008539F3">
        <w:t xml:space="preserve"> Jan</w:t>
      </w:r>
      <w:r w:rsidR="0069775E" w:rsidRPr="00412A9B">
        <w:t xml:space="preserve">uary </w:t>
      </w:r>
      <w:r w:rsidRPr="00412A9B">
        <w:t xml:space="preserve"> 202</w:t>
      </w:r>
      <w:r w:rsidR="0069775E" w:rsidRPr="00412A9B">
        <w:t>4</w:t>
      </w:r>
      <w:r w:rsidRPr="00412A9B">
        <w:t xml:space="preserve">. Applications will close 5th </w:t>
      </w:r>
      <w:r w:rsidR="0069775E" w:rsidRPr="00412A9B">
        <w:t>February</w:t>
      </w:r>
      <w:r w:rsidRPr="00412A9B">
        <w:t xml:space="preserve"> 202</w:t>
      </w:r>
      <w:r w:rsidR="0069775E" w:rsidRPr="00412A9B">
        <w:t>4</w:t>
      </w:r>
      <w:r w:rsidRPr="00412A9B">
        <w:t xml:space="preserve"> and decisions notified end of </w:t>
      </w:r>
      <w:r w:rsidR="0069775E" w:rsidRPr="00412A9B">
        <w:t>February</w:t>
      </w:r>
      <w:r w:rsidR="00073072">
        <w:t>/early March</w:t>
      </w:r>
      <w:r w:rsidR="0069775E" w:rsidRPr="00412A9B">
        <w:t xml:space="preserve"> 2024</w:t>
      </w:r>
      <w:r w:rsidRPr="00412A9B">
        <w:t>.</w:t>
      </w:r>
    </w:p>
    <w:p w14:paraId="68F4AF2C" w14:textId="16979F42" w:rsidR="000A1E10" w:rsidRPr="00F2434A" w:rsidRDefault="00BE3BEF" w:rsidP="006B4547">
      <w:pPr>
        <w:pStyle w:val="Footer"/>
        <w:spacing w:before="240"/>
        <w:jc w:val="right"/>
        <w:rPr>
          <w:sz w:val="20"/>
          <w:szCs w:val="20"/>
        </w:rPr>
      </w:pPr>
      <w:r>
        <w:rPr>
          <w:sz w:val="20"/>
          <w:szCs w:val="20"/>
        </w:rPr>
        <w:t>*</w:t>
      </w:r>
      <w:r w:rsidRPr="00BE3BEF">
        <w:rPr>
          <w:sz w:val="20"/>
          <w:szCs w:val="20"/>
          <w:vertAlign w:val="superscript"/>
        </w:rPr>
        <w:t>1</w:t>
      </w:r>
      <w:r w:rsidR="000A1E10" w:rsidRPr="00F2434A">
        <w:rPr>
          <w:sz w:val="20"/>
          <w:szCs w:val="20"/>
        </w:rPr>
        <w:t>Final grant award amounts are subject to ICB approval March 2024</w:t>
      </w:r>
    </w:p>
    <w:p w14:paraId="6A3AB355" w14:textId="4496CC04" w:rsidR="00BF4C64" w:rsidRDefault="00BF4C64" w:rsidP="00BF4C64">
      <w:r>
        <w:lastRenderedPageBreak/>
        <w:t>VCFSE organisations and the communities they serve are best placed to determine which activities and interventions are most needed and will work best. Consequently, the VCFSE Health and Wellbeing Grant programme is not being prescriptive in the work to fund</w:t>
      </w:r>
      <w:r w:rsidR="001B17AE">
        <w:t xml:space="preserve"> </w:t>
      </w:r>
      <w:r>
        <w:t xml:space="preserve">but is seeking proposals to work within the priority communities described </w:t>
      </w:r>
      <w:r w:rsidR="0069775E">
        <w:t xml:space="preserve">and </w:t>
      </w:r>
      <w:r>
        <w:t xml:space="preserve">to meet </w:t>
      </w:r>
      <w:r w:rsidR="0069775E">
        <w:t xml:space="preserve">the </w:t>
      </w:r>
      <w:r>
        <w:t>outcomes set out in the guidance below.</w:t>
      </w:r>
      <w:r w:rsidR="0094035B">
        <w:t xml:space="preserve"> We will fund projects which have been successfully tried before or new approaches, providing you can explain effectively in your application why you think it will meet the desired outcomes.</w:t>
      </w:r>
    </w:p>
    <w:p w14:paraId="158B547B" w14:textId="34928881" w:rsidR="00220BB3" w:rsidRDefault="00635A6D" w:rsidP="00196E1B">
      <w:pPr>
        <w:pStyle w:val="Heading1"/>
      </w:pPr>
      <w:bookmarkStart w:id="4" w:name="_Toc153968807"/>
      <w:r w:rsidRPr="006B48C5">
        <w:t>GUIDANCE NOTES</w:t>
      </w:r>
      <w:r>
        <w:t xml:space="preserve"> FOR APPLICANTS</w:t>
      </w:r>
      <w:bookmarkEnd w:id="4"/>
    </w:p>
    <w:p w14:paraId="25944432" w14:textId="77777777" w:rsidR="00635A6D" w:rsidRPr="00635A6D" w:rsidRDefault="00635A6D" w:rsidP="00CB28E5">
      <w:pPr>
        <w:pStyle w:val="Heading2"/>
      </w:pPr>
      <w:bookmarkStart w:id="5" w:name="_Toc153968808"/>
      <w:r w:rsidRPr="00635A6D">
        <w:t>Participants</w:t>
      </w:r>
      <w:bookmarkEnd w:id="5"/>
    </w:p>
    <w:p w14:paraId="694E8671" w14:textId="4775BD76" w:rsidR="00BF4C64" w:rsidRDefault="00BF4C64" w:rsidP="00BF4C64">
      <w:bookmarkStart w:id="6" w:name="_Hlk104225327"/>
      <w:r>
        <w:t>We have established priority groups for this fund to support action with communities where health inequalities</w:t>
      </w:r>
      <w:r w:rsidR="001B11B1">
        <w:rPr>
          <w:rStyle w:val="FootnoteReference"/>
        </w:rPr>
        <w:footnoteReference w:id="1"/>
      </w:r>
      <w:r>
        <w:t xml:space="preserve"> </w:t>
      </w:r>
      <w:r w:rsidR="001B11B1">
        <w:rPr>
          <w:rStyle w:val="FootnoteReference"/>
        </w:rPr>
        <w:footnoteReference w:id="2"/>
      </w:r>
      <w:r>
        <w:t>exist and where there is scope/evidence for the biggest potential impact. All funding will be focused on supporting people in areas facing the highest levels of multiple deprivation in Liverpool</w:t>
      </w:r>
      <w:r w:rsidR="00635A6D">
        <w:t xml:space="preserve">, </w:t>
      </w:r>
      <w:r>
        <w:t xml:space="preserve">who </w:t>
      </w:r>
      <w:r w:rsidRPr="00F207C6">
        <w:rPr>
          <w:u w:val="single"/>
        </w:rPr>
        <w:t>also</w:t>
      </w:r>
      <w:r>
        <w:t xml:space="preserve"> face </w:t>
      </w:r>
      <w:r w:rsidR="00F207C6">
        <w:t xml:space="preserve">the </w:t>
      </w:r>
      <w:r>
        <w:t>additional inequalities described below</w:t>
      </w:r>
      <w:r w:rsidR="007D1597">
        <w:t xml:space="preserve"> and are identified by VCSE own activity and</w:t>
      </w:r>
      <w:r w:rsidR="00F5415F">
        <w:t>/or</w:t>
      </w:r>
      <w:r w:rsidR="007D1597">
        <w:t xml:space="preserve"> GP referrals</w:t>
      </w:r>
      <w:r>
        <w:t>.</w:t>
      </w:r>
    </w:p>
    <w:p w14:paraId="04889AB6" w14:textId="77777777" w:rsidR="00BF4C64" w:rsidRPr="00167EEE" w:rsidRDefault="00BF4C64" w:rsidP="00167EEE">
      <w:r>
        <w:t xml:space="preserve">Applications are sought for proposals which will support health and wellbeing in the following </w:t>
      </w:r>
      <w:r w:rsidRPr="00167EEE">
        <w:t>communities:-</w:t>
      </w:r>
    </w:p>
    <w:p w14:paraId="47D4B845" w14:textId="3684EEF3" w:rsidR="001724AB" w:rsidRPr="00167EEE" w:rsidRDefault="00167EEE" w:rsidP="00167EEE">
      <w:pPr>
        <w:ind w:left="567" w:hanging="283"/>
        <w:rPr>
          <w:highlight w:val="yellow"/>
        </w:rPr>
      </w:pPr>
      <w:r w:rsidRPr="00E6378B">
        <w:t xml:space="preserve">A)   </w:t>
      </w:r>
      <w:r w:rsidR="00557B38" w:rsidRPr="00E6378B">
        <w:t>P</w:t>
      </w:r>
      <w:r w:rsidR="00BF4C64" w:rsidRPr="00E6378B">
        <w:t>eople in Liverpool who live in the</w:t>
      </w:r>
      <w:r w:rsidR="00F207C6" w:rsidRPr="00E6378B">
        <w:t xml:space="preserve"> </w:t>
      </w:r>
      <w:r w:rsidR="00BF4C64" w:rsidRPr="00E6378B">
        <w:t>10% most deprived communities in the IMD nationally</w:t>
      </w:r>
      <w:r w:rsidR="00635A6D" w:rsidRPr="00E6378B">
        <w:t xml:space="preserve"> (see</w:t>
      </w:r>
      <w:r w:rsidR="001724AB" w:rsidRPr="00E6378B">
        <w:t xml:space="preserve"> red and </w:t>
      </w:r>
      <w:r w:rsidR="00E953C4" w:rsidRPr="00E6378B">
        <w:t>purple</w:t>
      </w:r>
      <w:r w:rsidR="001724AB" w:rsidRPr="00E6378B">
        <w:t xml:space="preserve"> areas on the</w:t>
      </w:r>
      <w:r w:rsidR="00635A6D" w:rsidRPr="00E6378B">
        <w:t xml:space="preserve"> map below)</w:t>
      </w:r>
      <w:r w:rsidR="00BF4C64" w:rsidRPr="00E6378B">
        <w:t>.</w:t>
      </w:r>
      <w:r w:rsidR="00BF4C64" w:rsidRPr="00167EEE">
        <w:t xml:space="preserve"> </w:t>
      </w:r>
      <w:r w:rsidR="001724AB" w:rsidRPr="00167EEE">
        <w:t xml:space="preserve"> For the purposes of this grant,</w:t>
      </w:r>
      <w:r w:rsidR="00BF4C64" w:rsidRPr="00167EEE">
        <w:t xml:space="preserve"> </w:t>
      </w:r>
      <w:r w:rsidR="00E6378B">
        <w:t xml:space="preserve">at least </w:t>
      </w:r>
      <w:r w:rsidR="00BF4C64" w:rsidRPr="00167EEE">
        <w:t xml:space="preserve">75% of participants </w:t>
      </w:r>
      <w:r w:rsidR="005C0C82" w:rsidRPr="00167EEE">
        <w:t xml:space="preserve">will need </w:t>
      </w:r>
      <w:r w:rsidR="00BF4C64" w:rsidRPr="00167EEE">
        <w:t xml:space="preserve">to live in </w:t>
      </w:r>
      <w:r w:rsidR="00A90215" w:rsidRPr="00167EEE">
        <w:t xml:space="preserve">one or more of </w:t>
      </w:r>
      <w:r w:rsidR="00BF4C64" w:rsidRPr="00167EEE">
        <w:t>the</w:t>
      </w:r>
      <w:r w:rsidRPr="00167EEE">
        <w:t xml:space="preserve"> wards marked red or purple</w:t>
      </w:r>
      <w:r w:rsidR="00BE76C5">
        <w:t xml:space="preserve"> in the map</w:t>
      </w:r>
      <w:r w:rsidRPr="00167EEE">
        <w:t xml:space="preserve">, </w:t>
      </w:r>
      <w:r w:rsidR="00BE76C5">
        <w:t>or listed below</w:t>
      </w:r>
      <w:r w:rsidR="00E953C4" w:rsidRPr="00167EEE">
        <w:t>:-</w:t>
      </w:r>
    </w:p>
    <w:p w14:paraId="0116F599" w14:textId="30AC02E3" w:rsidR="00E953C4" w:rsidRPr="001B17AE" w:rsidRDefault="00E953C4" w:rsidP="00E953C4">
      <w:pPr>
        <w:pStyle w:val="ListParagraph"/>
        <w:ind w:left="360"/>
        <w:rPr>
          <w:highlight w:val="yellow"/>
        </w:rPr>
      </w:pPr>
      <w:proofErr w:type="spellStart"/>
      <w:r>
        <w:t>Fazakerly</w:t>
      </w:r>
      <w:proofErr w:type="spellEnd"/>
      <w:r>
        <w:t xml:space="preserve"> East, </w:t>
      </w:r>
      <w:proofErr w:type="spellStart"/>
      <w:r>
        <w:t>Fazakerly</w:t>
      </w:r>
      <w:proofErr w:type="spellEnd"/>
      <w:r>
        <w:t xml:space="preserve"> West, Croxteth, Norris Green, </w:t>
      </w:r>
      <w:proofErr w:type="spellStart"/>
      <w:r>
        <w:t>Clubmoor</w:t>
      </w:r>
      <w:proofErr w:type="spellEnd"/>
      <w:r>
        <w:t xml:space="preserve"> East, </w:t>
      </w:r>
      <w:proofErr w:type="spellStart"/>
      <w:r>
        <w:t>Clubmoor</w:t>
      </w:r>
      <w:proofErr w:type="spellEnd"/>
      <w:r>
        <w:t xml:space="preserve"> West, Walton, County, </w:t>
      </w:r>
      <w:proofErr w:type="spellStart"/>
      <w:r>
        <w:t>Kirkdale</w:t>
      </w:r>
      <w:proofErr w:type="spellEnd"/>
      <w:r>
        <w:t xml:space="preserve"> East, </w:t>
      </w:r>
      <w:proofErr w:type="spellStart"/>
      <w:r>
        <w:t>Kirkdale</w:t>
      </w:r>
      <w:proofErr w:type="spellEnd"/>
      <w:r>
        <w:t xml:space="preserve"> West, Waterfront North, Vauxhall, Everton West, Everton North, Anfield, Everton East, </w:t>
      </w:r>
      <w:proofErr w:type="gramStart"/>
      <w:r>
        <w:t>Kensington</w:t>
      </w:r>
      <w:proofErr w:type="gramEnd"/>
      <w:r>
        <w:t xml:space="preserve"> and Fairfield, Tuebrook Larkhill, </w:t>
      </w:r>
      <w:proofErr w:type="spellStart"/>
      <w:r>
        <w:t>Stoneycroft</w:t>
      </w:r>
      <w:proofErr w:type="spellEnd"/>
      <w:r>
        <w:t xml:space="preserve">, Old Swan West, </w:t>
      </w:r>
      <w:r w:rsidR="00167EEE">
        <w:t xml:space="preserve">Old Swan East, Broadgreen,  </w:t>
      </w:r>
      <w:r>
        <w:t>Ed</w:t>
      </w:r>
      <w:r w:rsidR="00167EEE">
        <w:t>g</w:t>
      </w:r>
      <w:r>
        <w:t>e Hill, Yew Tree, Knotty Ash and Dovecot Park</w:t>
      </w:r>
      <w:r w:rsidR="00167EEE">
        <w:t xml:space="preserve">, </w:t>
      </w:r>
      <w:proofErr w:type="spellStart"/>
      <w:r w:rsidR="00167EEE">
        <w:t>Smithdown</w:t>
      </w:r>
      <w:proofErr w:type="spellEnd"/>
      <w:r w:rsidR="00167EEE">
        <w:t>, Arundel, Princess Park, Toxteth, Dingle, Belle Vale, Garston, Speke.</w:t>
      </w:r>
      <w:r>
        <w:t xml:space="preserve">  </w:t>
      </w:r>
    </w:p>
    <w:p w14:paraId="3455F1A1" w14:textId="60BBB338" w:rsidR="00BF4C64" w:rsidRDefault="00BF4C64" w:rsidP="00F207C6">
      <w:r w:rsidRPr="00737055">
        <w:rPr>
          <w:b/>
          <w:bCs/>
        </w:rPr>
        <w:t>AND</w:t>
      </w:r>
      <w:r>
        <w:t xml:space="preserve"> WHO ARE </w:t>
      </w:r>
      <w:r w:rsidRPr="00C070E3">
        <w:rPr>
          <w:b/>
          <w:bCs/>
          <w:u w:val="single"/>
        </w:rPr>
        <w:t>ALSO</w:t>
      </w:r>
      <w:r>
        <w:t xml:space="preserve"> </w:t>
      </w:r>
    </w:p>
    <w:p w14:paraId="60236EF9" w14:textId="5D5A6002" w:rsidR="00BF4C64" w:rsidRDefault="007D1597" w:rsidP="00167EEE">
      <w:pPr>
        <w:pStyle w:val="ListParagraph"/>
        <w:numPr>
          <w:ilvl w:val="0"/>
          <w:numId w:val="17"/>
        </w:numPr>
      </w:pPr>
      <w:r>
        <w:t>P</w:t>
      </w:r>
      <w:r w:rsidR="00BF4C64">
        <w:t>art of one or more of the following groups:-</w:t>
      </w:r>
    </w:p>
    <w:p w14:paraId="4A653D38" w14:textId="77777777" w:rsidR="00BF4C64" w:rsidRPr="00F207C6" w:rsidRDefault="00BF4C64" w:rsidP="00BF4C64">
      <w:pPr>
        <w:pStyle w:val="ListParagraph"/>
        <w:numPr>
          <w:ilvl w:val="0"/>
          <w:numId w:val="10"/>
        </w:numPr>
      </w:pPr>
      <w:r w:rsidRPr="00F207C6">
        <w:t>Ethnic minority / traveller communities</w:t>
      </w:r>
    </w:p>
    <w:p w14:paraId="28EA635D" w14:textId="77777777" w:rsidR="00BF4C64" w:rsidRPr="00F207C6" w:rsidRDefault="00BF4C64" w:rsidP="00BF4C64">
      <w:pPr>
        <w:pStyle w:val="ListParagraph"/>
        <w:numPr>
          <w:ilvl w:val="0"/>
          <w:numId w:val="10"/>
        </w:numPr>
      </w:pPr>
      <w:r w:rsidRPr="00F207C6">
        <w:t>People who have a disability – physical or mental impairment which has a substantial and long-term adverse effect on their ability to carry out normal day-to-day activities and their families/</w:t>
      </w:r>
      <w:proofErr w:type="gramStart"/>
      <w:r w:rsidRPr="00F207C6">
        <w:t>carers</w:t>
      </w:r>
      <w:proofErr w:type="gramEnd"/>
    </w:p>
    <w:p w14:paraId="42F2AE58" w14:textId="76D2ED9A" w:rsidR="00BF4C64" w:rsidRPr="00F207C6" w:rsidRDefault="00BF4C64" w:rsidP="00BF4C64">
      <w:pPr>
        <w:pStyle w:val="ListParagraph"/>
        <w:numPr>
          <w:ilvl w:val="0"/>
          <w:numId w:val="10"/>
        </w:numPr>
      </w:pPr>
      <w:r w:rsidRPr="00F207C6">
        <w:t xml:space="preserve">Pregnant women and </w:t>
      </w:r>
      <w:r w:rsidR="005C0C82" w:rsidRPr="00F207C6">
        <w:t xml:space="preserve">/ </w:t>
      </w:r>
      <w:r w:rsidRPr="00F207C6">
        <w:t xml:space="preserve">or children aged 0-5 and their </w:t>
      </w:r>
      <w:proofErr w:type="gramStart"/>
      <w:r w:rsidRPr="00F207C6">
        <w:t>families</w:t>
      </w:r>
      <w:proofErr w:type="gramEnd"/>
    </w:p>
    <w:p w14:paraId="73172B59" w14:textId="77777777" w:rsidR="00BF4C64" w:rsidRDefault="00BF4C64" w:rsidP="00BF4C64">
      <w:pPr>
        <w:pStyle w:val="ListParagraph"/>
        <w:ind w:left="1440"/>
      </w:pPr>
    </w:p>
    <w:p w14:paraId="5AE6FD2D" w14:textId="5E3F2CB0" w:rsidR="00BF4C64" w:rsidRDefault="00BF4C64" w:rsidP="00167EEE">
      <w:pPr>
        <w:pStyle w:val="ListParagraph"/>
        <w:numPr>
          <w:ilvl w:val="0"/>
          <w:numId w:val="17"/>
        </w:numPr>
      </w:pPr>
      <w:r w:rsidRPr="00F044C4">
        <w:t xml:space="preserve">Participants who are </w:t>
      </w:r>
      <w:r w:rsidR="005C0C82">
        <w:t>involved</w:t>
      </w:r>
      <w:r w:rsidRPr="00F044C4">
        <w:t xml:space="preserve"> </w:t>
      </w:r>
      <w:r w:rsidR="005C0C82">
        <w:t>through</w:t>
      </w:r>
      <w:r w:rsidRPr="00F044C4">
        <w:t xml:space="preserve"> community organisations</w:t>
      </w:r>
      <w:r w:rsidR="005C0C82">
        <w:t>’ own work</w:t>
      </w:r>
      <w:r w:rsidRPr="00F044C4">
        <w:t xml:space="preserve"> and</w:t>
      </w:r>
      <w:r w:rsidR="00A613A4">
        <w:t xml:space="preserve"> maybe</w:t>
      </w:r>
      <w:r w:rsidRPr="00F044C4">
        <w:t xml:space="preserve"> though referrals from </w:t>
      </w:r>
      <w:r w:rsidR="00EB6EAE">
        <w:t xml:space="preserve">Liverpool </w:t>
      </w:r>
      <w:r w:rsidRPr="00F044C4">
        <w:t xml:space="preserve">GP practices.  </w:t>
      </w:r>
    </w:p>
    <w:p w14:paraId="7B9F232E" w14:textId="6F3A7E36" w:rsidR="007A1362" w:rsidRDefault="007A1362" w:rsidP="00445F8D">
      <w:r>
        <w:lastRenderedPageBreak/>
        <w:t>I</w:t>
      </w:r>
      <w:r w:rsidRPr="007A1362">
        <w:t xml:space="preserve">t is recognised some organisations may already take referrals. Applicants should decide if they wish to </w:t>
      </w:r>
      <w:r>
        <w:t>take referrals</w:t>
      </w:r>
      <w:r w:rsidRPr="007A1362">
        <w:t xml:space="preserve"> as part of this project or not (it is not a requirement) and if this will support/overlap existing arrangements or be separate. Applications can describe where referrals are to be welcomed from if appropriate or if this is to be generated through the project</w:t>
      </w:r>
      <w:r>
        <w:t xml:space="preserve"> or </w:t>
      </w:r>
      <w:r w:rsidRPr="007A1362">
        <w:t>unknown</w:t>
      </w:r>
      <w:r>
        <w:t>.</w:t>
      </w:r>
    </w:p>
    <w:p w14:paraId="7236C50E" w14:textId="77777777" w:rsidR="00050C03" w:rsidRPr="00050C03" w:rsidRDefault="00050C03" w:rsidP="00CB28E5">
      <w:pPr>
        <w:pStyle w:val="Heading2"/>
      </w:pPr>
      <w:bookmarkStart w:id="7" w:name="_Toc153968809"/>
      <w:bookmarkEnd w:id="6"/>
      <w:r w:rsidRPr="00050C03">
        <w:t>Outcomes</w:t>
      </w:r>
      <w:bookmarkEnd w:id="7"/>
    </w:p>
    <w:p w14:paraId="6A8B8D53" w14:textId="726C2052" w:rsidR="00BF4C64" w:rsidRDefault="00BF4C64" w:rsidP="00BF4C64">
      <w:r>
        <w:t xml:space="preserve">To be successful in your application you will also need to address and ultimately provide evidence of achieving </w:t>
      </w:r>
      <w:r w:rsidRPr="00E6378B">
        <w:rPr>
          <w:b/>
          <w:bCs/>
        </w:rPr>
        <w:t>a minimum of 3</w:t>
      </w:r>
      <w:r>
        <w:t xml:space="preserve"> of the following outcomes:-</w:t>
      </w:r>
    </w:p>
    <w:p w14:paraId="06B98B2A" w14:textId="08404089" w:rsidR="00BF4C64" w:rsidRDefault="00BF4C64" w:rsidP="00BF4C64">
      <w:pPr>
        <w:pStyle w:val="ListParagraph"/>
        <w:numPr>
          <w:ilvl w:val="0"/>
          <w:numId w:val="11"/>
        </w:numPr>
      </w:pPr>
      <w:r>
        <w:t>Improved wellbeing / mental health of participants</w:t>
      </w:r>
      <w:r w:rsidR="00050C03">
        <w:t xml:space="preserve"> using agreed scales </w:t>
      </w:r>
      <w:proofErr w:type="spellStart"/>
      <w:r w:rsidR="00050C03" w:rsidRPr="00466F08">
        <w:rPr>
          <w:b/>
          <w:bCs/>
        </w:rPr>
        <w:t>eg</w:t>
      </w:r>
      <w:proofErr w:type="spellEnd"/>
      <w:r w:rsidR="00050C03">
        <w:t xml:space="preserve"> (SWEMWBS)</w:t>
      </w:r>
    </w:p>
    <w:p w14:paraId="171C6DDA" w14:textId="39BFB36F" w:rsidR="00BF4C64" w:rsidRDefault="00BF4C64" w:rsidP="00BF4C64">
      <w:pPr>
        <w:pStyle w:val="ListParagraph"/>
        <w:numPr>
          <w:ilvl w:val="0"/>
          <w:numId w:val="11"/>
        </w:numPr>
      </w:pPr>
      <w:r>
        <w:t xml:space="preserve">Improved physical health of participants – </w:t>
      </w:r>
      <w:proofErr w:type="spellStart"/>
      <w:r>
        <w:t>eg</w:t>
      </w:r>
      <w:proofErr w:type="spellEnd"/>
      <w:r>
        <w:t xml:space="preserve"> physical activity / </w:t>
      </w:r>
      <w:r w:rsidR="005A7D04">
        <w:t>healthy eating</w:t>
      </w:r>
      <w:r>
        <w:t xml:space="preserve"> / </w:t>
      </w:r>
      <w:r w:rsidR="002068EB">
        <w:t xml:space="preserve">self-care / </w:t>
      </w:r>
      <w:r>
        <w:t>contact with health professionals</w:t>
      </w:r>
      <w:r w:rsidR="00BB167A">
        <w:t xml:space="preserve"> / improved living conditions / improved working </w:t>
      </w:r>
      <w:proofErr w:type="gramStart"/>
      <w:r w:rsidR="00BB167A">
        <w:t>conditions</w:t>
      </w:r>
      <w:proofErr w:type="gramEnd"/>
    </w:p>
    <w:p w14:paraId="38AF0263" w14:textId="77777777" w:rsidR="00BF4C64" w:rsidRDefault="00BF4C64" w:rsidP="00BF4C64">
      <w:pPr>
        <w:pStyle w:val="ListParagraph"/>
        <w:numPr>
          <w:ilvl w:val="0"/>
          <w:numId w:val="11"/>
        </w:numPr>
      </w:pPr>
      <w:r>
        <w:t xml:space="preserve">Improved/increased social contact of </w:t>
      </w:r>
      <w:proofErr w:type="gramStart"/>
      <w:r>
        <w:t>participants</w:t>
      </w:r>
      <w:proofErr w:type="gramEnd"/>
    </w:p>
    <w:p w14:paraId="2CFB60AA" w14:textId="14563BC5" w:rsidR="00BF4C64" w:rsidRDefault="00BF4C64" w:rsidP="00BF4C64">
      <w:pPr>
        <w:pStyle w:val="ListParagraph"/>
        <w:numPr>
          <w:ilvl w:val="0"/>
          <w:numId w:val="11"/>
        </w:numPr>
      </w:pPr>
      <w:r>
        <w:t xml:space="preserve">Increased knowledge, skills </w:t>
      </w:r>
      <w:r w:rsidR="002068EB">
        <w:t>&amp;/or</w:t>
      </w:r>
      <w:r>
        <w:t xml:space="preserve"> confidence for living healthier lives</w:t>
      </w:r>
      <w:r w:rsidR="002068EB">
        <w:t xml:space="preserve"> – </w:t>
      </w:r>
      <w:proofErr w:type="spellStart"/>
      <w:r w:rsidR="002068EB">
        <w:t>eg</w:t>
      </w:r>
      <w:proofErr w:type="spellEnd"/>
      <w:r w:rsidR="002068EB">
        <w:t xml:space="preserve"> for prevention of ill health/ care of a </w:t>
      </w:r>
      <w:r w:rsidR="005A7D04">
        <w:t>long</w:t>
      </w:r>
      <w:r w:rsidR="00780682">
        <w:t>-</w:t>
      </w:r>
      <w:r w:rsidR="005A7D04">
        <w:t xml:space="preserve">term </w:t>
      </w:r>
      <w:r w:rsidR="002068EB">
        <w:t>health condition/ where to seek support / parenting skills / peer support</w:t>
      </w:r>
      <w:r w:rsidR="00071FB6">
        <w:t xml:space="preserve"> / volunteering / </w:t>
      </w:r>
      <w:proofErr w:type="gramStart"/>
      <w:r w:rsidR="00071FB6">
        <w:t>training</w:t>
      </w:r>
      <w:proofErr w:type="gramEnd"/>
    </w:p>
    <w:p w14:paraId="42B82549" w14:textId="58F2F785" w:rsidR="00BF4C64" w:rsidRDefault="00BF4C64" w:rsidP="00BF4C64">
      <w:pPr>
        <w:pStyle w:val="ListParagraph"/>
        <w:numPr>
          <w:ilvl w:val="0"/>
          <w:numId w:val="11"/>
        </w:numPr>
      </w:pPr>
      <w:r>
        <w:t>Improved links between VCFSE and relevant health professionals</w:t>
      </w:r>
    </w:p>
    <w:p w14:paraId="7C0E8999" w14:textId="771AA57B" w:rsidR="00BE51AD" w:rsidRDefault="00B2047C" w:rsidP="00BE51AD">
      <w:r>
        <w:t>The application asks organisations to outline how you will evaluate the project and we envisage these plans can be discussed and refined with successful organisations at award.</w:t>
      </w:r>
      <w:r w:rsidR="009751AE">
        <w:t xml:space="preserve"> A</w:t>
      </w:r>
      <w:r w:rsidR="009751AE" w:rsidRPr="009751AE">
        <w:t xml:space="preserve"> draft </w:t>
      </w:r>
      <w:r w:rsidR="009751AE">
        <w:t xml:space="preserve">evaluation </w:t>
      </w:r>
      <w:r w:rsidR="009751AE" w:rsidRPr="009751AE">
        <w:t>template is available on the LCVS web page</w:t>
      </w:r>
      <w:r w:rsidR="009751AE">
        <w:t xml:space="preserve"> for guidance</w:t>
      </w:r>
      <w:r w:rsidR="009751AE" w:rsidRPr="009751AE">
        <w:t xml:space="preserve">. It is envisaged before and after questionnaires will be needed with </w:t>
      </w:r>
      <w:r w:rsidR="009751AE">
        <w:t xml:space="preserve">at least some </w:t>
      </w:r>
      <w:r w:rsidR="009751AE" w:rsidRPr="009751AE">
        <w:t>participants to demonstrate most of the outcomes. Applications should set out how you will approach this. It may be appropriate to adapt the process to suit your project/participants. Applications should describe this, including what proportion of participants will be completing such feedback and a mix of qualitative and quantitative responses. A final template will be agreed with the successful projects.</w:t>
      </w:r>
    </w:p>
    <w:p w14:paraId="0CE7B80B" w14:textId="68BCE2CE" w:rsidR="00B042AB" w:rsidRDefault="00071FB6" w:rsidP="00CB28E5">
      <w:pPr>
        <w:pStyle w:val="Heading2"/>
      </w:pPr>
      <w:bookmarkStart w:id="8" w:name="_Toc153968810"/>
      <w:r>
        <w:t>Eligible Organisations</w:t>
      </w:r>
      <w:bookmarkEnd w:id="8"/>
    </w:p>
    <w:p w14:paraId="47A323E7" w14:textId="074071A4" w:rsidR="00B042AB" w:rsidRPr="00B042AB" w:rsidRDefault="00B042AB">
      <w:r w:rsidRPr="00B042AB">
        <w:t>Eligible organisations</w:t>
      </w:r>
      <w:r>
        <w:t xml:space="preserve"> must :-</w:t>
      </w:r>
    </w:p>
    <w:p w14:paraId="05767112" w14:textId="618C3525" w:rsidR="009F10BC" w:rsidRDefault="009F10BC" w:rsidP="009F10BC">
      <w:pPr>
        <w:pStyle w:val="ListParagraph"/>
        <w:numPr>
          <w:ilvl w:val="0"/>
          <w:numId w:val="4"/>
        </w:numPr>
      </w:pPr>
      <w:r>
        <w:t xml:space="preserve">Be able to deliver on </w:t>
      </w:r>
      <w:r w:rsidRPr="009F10BC">
        <w:rPr>
          <w:b/>
          <w:bCs/>
        </w:rPr>
        <w:t xml:space="preserve">at least </w:t>
      </w:r>
      <w:r w:rsidRPr="001B17AE">
        <w:rPr>
          <w:b/>
          <w:bCs/>
          <w:u w:val="single"/>
        </w:rPr>
        <w:t>3</w:t>
      </w:r>
      <w:r>
        <w:t xml:space="preserve"> of the outcomes listed </w:t>
      </w:r>
      <w:r w:rsidR="00E6378B">
        <w:t xml:space="preserve">above </w:t>
      </w:r>
      <w:r>
        <w:t>and provide evidence of this.</w:t>
      </w:r>
    </w:p>
    <w:p w14:paraId="0FB19A97" w14:textId="4E528F48" w:rsidR="009F10BC" w:rsidRDefault="009F10BC" w:rsidP="009F10BC">
      <w:pPr>
        <w:pStyle w:val="ListParagraph"/>
        <w:numPr>
          <w:ilvl w:val="0"/>
          <w:numId w:val="4"/>
        </w:numPr>
      </w:pPr>
      <w:r>
        <w:t xml:space="preserve">Be actively supporting people in groups experiencing health inequalities as set out in </w:t>
      </w:r>
      <w:r w:rsidR="00682DDE">
        <w:t>3</w:t>
      </w:r>
      <w:r>
        <w:t>A</w:t>
      </w:r>
      <w:r w:rsidR="0071520C">
        <w:t>, map below</w:t>
      </w:r>
      <w:r>
        <w:t xml:space="preserve"> </w:t>
      </w:r>
      <w:r w:rsidRPr="009F10BC">
        <w:rPr>
          <w:b/>
          <w:bCs/>
        </w:rPr>
        <w:t>and</w:t>
      </w:r>
      <w:r>
        <w:t xml:space="preserve"> </w:t>
      </w:r>
      <w:r w:rsidR="00682DDE">
        <w:t>3</w:t>
      </w:r>
      <w:r>
        <w:t>B above.</w:t>
      </w:r>
    </w:p>
    <w:p w14:paraId="6EC6788D" w14:textId="145EAB25" w:rsidR="00220BB3" w:rsidRPr="007D1597" w:rsidRDefault="00B042AB" w:rsidP="00B042AB">
      <w:pPr>
        <w:pStyle w:val="ListParagraph"/>
        <w:numPr>
          <w:ilvl w:val="0"/>
          <w:numId w:val="4"/>
        </w:numPr>
      </w:pPr>
      <w:r w:rsidRPr="007D1597">
        <w:t>Be c</w:t>
      </w:r>
      <w:r w:rsidR="006B48C5" w:rsidRPr="007D1597">
        <w:t xml:space="preserve">onstituted voluntary, community, </w:t>
      </w:r>
      <w:proofErr w:type="gramStart"/>
      <w:r w:rsidR="006B48C5" w:rsidRPr="007D1597">
        <w:t>faith</w:t>
      </w:r>
      <w:proofErr w:type="gramEnd"/>
      <w:r w:rsidR="006B48C5" w:rsidRPr="007D1597">
        <w:t xml:space="preserve"> and social enterprise organisations, operating on a not-for-profit basis</w:t>
      </w:r>
      <w:r w:rsidR="00A12443" w:rsidRPr="007D1597">
        <w:t xml:space="preserve"> and established for at least 12 months</w:t>
      </w:r>
      <w:r w:rsidR="00682DDE">
        <w:t xml:space="preserve"> from January 2023</w:t>
      </w:r>
      <w:r w:rsidR="00A12443" w:rsidRPr="007D1597">
        <w:t>.</w:t>
      </w:r>
    </w:p>
    <w:p w14:paraId="7FC2F86A" w14:textId="74DFB530" w:rsidR="00A12443" w:rsidRPr="007D1597" w:rsidRDefault="00A12443" w:rsidP="00A12443">
      <w:pPr>
        <w:pStyle w:val="ListParagraph"/>
        <w:numPr>
          <w:ilvl w:val="0"/>
          <w:numId w:val="4"/>
        </w:numPr>
      </w:pPr>
      <w:r w:rsidRPr="007D1597">
        <w:t xml:space="preserve">Have an income </w:t>
      </w:r>
      <w:r w:rsidR="00071FB6" w:rsidRPr="007D1597">
        <w:t>of between £</w:t>
      </w:r>
      <w:r w:rsidR="006F3A4B" w:rsidRPr="007D1597">
        <w:t>3</w:t>
      </w:r>
      <w:r w:rsidR="00071FB6" w:rsidRPr="007D1597">
        <w:t xml:space="preserve">,000 - </w:t>
      </w:r>
      <w:r w:rsidRPr="007D1597">
        <w:t xml:space="preserve"> £550,000</w:t>
      </w:r>
      <w:r w:rsidR="00EB6EAE" w:rsidRPr="007D1597">
        <w:t xml:space="preserve"> in 202</w:t>
      </w:r>
      <w:r w:rsidR="00C070E3">
        <w:t>2</w:t>
      </w:r>
      <w:r w:rsidR="00282555">
        <w:t>/2</w:t>
      </w:r>
      <w:r w:rsidR="00C070E3">
        <w:t>3</w:t>
      </w:r>
      <w:r w:rsidR="00EB6EAE" w:rsidRPr="007D1597">
        <w:t>.</w:t>
      </w:r>
    </w:p>
    <w:p w14:paraId="62C05F1D" w14:textId="08D681C6" w:rsidR="006B48C5" w:rsidRDefault="00682DDE" w:rsidP="00B042AB">
      <w:pPr>
        <w:pStyle w:val="ListParagraph"/>
        <w:numPr>
          <w:ilvl w:val="0"/>
          <w:numId w:val="4"/>
        </w:numPr>
      </w:pPr>
      <w:r>
        <w:t>Have the r</w:t>
      </w:r>
      <w:r w:rsidRPr="00682DDE">
        <w:t>egistered address in Liverpool and/or business address (main place of operation) to be in Liverpool. Liverpool defined as the Local Authority area.</w:t>
      </w:r>
    </w:p>
    <w:p w14:paraId="07406817" w14:textId="283D30CB" w:rsidR="00CF72A9" w:rsidRDefault="00B042AB" w:rsidP="00B042AB">
      <w:pPr>
        <w:pStyle w:val="ListParagraph"/>
        <w:numPr>
          <w:ilvl w:val="0"/>
          <w:numId w:val="4"/>
        </w:numPr>
      </w:pPr>
      <w:r>
        <w:t>Have a bank account which requires at least two unrelated people to sign cheques and make withdrawals</w:t>
      </w:r>
      <w:r w:rsidR="00682DDE">
        <w:t>.</w:t>
      </w:r>
    </w:p>
    <w:p w14:paraId="09FF84BA" w14:textId="1D6DC44A" w:rsidR="00775F86" w:rsidRDefault="00775F86" w:rsidP="00B042AB">
      <w:pPr>
        <w:pStyle w:val="ListParagraph"/>
        <w:numPr>
          <w:ilvl w:val="0"/>
          <w:numId w:val="4"/>
        </w:numPr>
      </w:pPr>
      <w:r>
        <w:t>Have at least three people on board</w:t>
      </w:r>
      <w:r w:rsidR="00D0239A">
        <w:t>/directors</w:t>
      </w:r>
    </w:p>
    <w:p w14:paraId="24FC9359" w14:textId="4E85A77F" w:rsidR="00115650" w:rsidRDefault="00502FBC" w:rsidP="00115650">
      <w:pPr>
        <w:pStyle w:val="ListParagraph"/>
        <w:numPr>
          <w:ilvl w:val="0"/>
          <w:numId w:val="4"/>
        </w:numPr>
      </w:pPr>
      <w:r>
        <w:t>Provide</w:t>
      </w:r>
      <w:r w:rsidR="00B042AB">
        <w:t xml:space="preserve"> appropriate Safeguarding and Equality policies and insurance provision for the activities proposed</w:t>
      </w:r>
      <w:r w:rsidR="00682DDE">
        <w:t>.</w:t>
      </w:r>
    </w:p>
    <w:p w14:paraId="14212269" w14:textId="0EFE88F6" w:rsidR="00CE4969" w:rsidRDefault="00CE4969" w:rsidP="00115650">
      <w:pPr>
        <w:pStyle w:val="ListParagraph"/>
        <w:numPr>
          <w:ilvl w:val="0"/>
          <w:numId w:val="4"/>
        </w:numPr>
      </w:pPr>
      <w:r>
        <w:t xml:space="preserve">Be willing to participate in </w:t>
      </w:r>
      <w:r w:rsidR="009F10BC">
        <w:t>quarterly</w:t>
      </w:r>
      <w:r>
        <w:t xml:space="preserve"> meetings with scheme partners to further the aims of the programme (for which time costs can be built into </w:t>
      </w:r>
      <w:r w:rsidR="00893EE6">
        <w:t>applications</w:t>
      </w:r>
      <w:r>
        <w:t>).</w:t>
      </w:r>
    </w:p>
    <w:p w14:paraId="14ECBF10" w14:textId="239EC925" w:rsidR="00296CA2" w:rsidRDefault="00296CA2" w:rsidP="00115650">
      <w:pPr>
        <w:pStyle w:val="ListParagraph"/>
        <w:numPr>
          <w:ilvl w:val="0"/>
          <w:numId w:val="4"/>
        </w:numPr>
      </w:pPr>
      <w:r>
        <w:lastRenderedPageBreak/>
        <w:t>Provide progress report</w:t>
      </w:r>
      <w:r w:rsidR="00CE4969">
        <w:t>s</w:t>
      </w:r>
      <w:r>
        <w:t xml:space="preserve"> during delivery</w:t>
      </w:r>
      <w:r w:rsidR="009F10BC">
        <w:t>,</w:t>
      </w:r>
      <w:r>
        <w:t xml:space="preserve"> </w:t>
      </w:r>
      <w:r w:rsidR="009F10BC">
        <w:t xml:space="preserve">mid-way and </w:t>
      </w:r>
      <w:r>
        <w:t>end of project evaluation using templates agreed at the start of the project</w:t>
      </w:r>
      <w:r w:rsidR="00B2047C">
        <w:t>.</w:t>
      </w:r>
    </w:p>
    <w:p w14:paraId="46A2F91E" w14:textId="0B30790C" w:rsidR="007A1362" w:rsidRDefault="007A1362" w:rsidP="007A1362">
      <w:r w:rsidRPr="007A1362">
        <w:t xml:space="preserve">Partnership bids are welcome and </w:t>
      </w:r>
      <w:r w:rsidR="009232D4">
        <w:t xml:space="preserve">are </w:t>
      </w:r>
      <w:r w:rsidRPr="007A1362">
        <w:t>to be made in the name of the lead organisation. Each partner will be required to meet the eligibility criteria and appropriate documentation for each will need to be submitted.</w:t>
      </w:r>
    </w:p>
    <w:p w14:paraId="728086F3" w14:textId="0E8E3269" w:rsidR="009232D4" w:rsidRDefault="009232D4" w:rsidP="007A1362">
      <w:r>
        <w:t xml:space="preserve">Recipients of grants in the previous scheme are welcome to apply and applications will be judged according to the above criteria. </w:t>
      </w:r>
    </w:p>
    <w:p w14:paraId="61E72CED" w14:textId="6DC16033" w:rsidR="009232D4" w:rsidRDefault="009232D4" w:rsidP="007A1362">
      <w:r>
        <w:t>Activity proposed in the grants does not have to be ‘new’ and can be to continue/extend existing approaches providing they meet the criteria set out in this guidance.</w:t>
      </w:r>
    </w:p>
    <w:p w14:paraId="7618BCF9" w14:textId="77777777" w:rsidR="007A1362" w:rsidRDefault="007A1362" w:rsidP="007A1362">
      <w:r>
        <w:t xml:space="preserve">Staff costs – organisations may build staff costs into their application, </w:t>
      </w:r>
      <w:proofErr w:type="gramStart"/>
      <w:r>
        <w:t>as long as</w:t>
      </w:r>
      <w:proofErr w:type="gramEnd"/>
      <w:r>
        <w:t xml:space="preserve"> the purpose of the role aligns with the overall aims of the project priorities.</w:t>
      </w:r>
    </w:p>
    <w:p w14:paraId="2170B19B" w14:textId="08708991" w:rsidR="007A1362" w:rsidRDefault="007A1362" w:rsidP="007A1362">
      <w:r>
        <w:t xml:space="preserve">Translations/alternative formats – separate budget is available to support this for projects and evaluations. </w:t>
      </w:r>
      <w:r w:rsidR="00623D21">
        <w:t>Please m</w:t>
      </w:r>
      <w:r>
        <w:t xml:space="preserve">ake a note in application </w:t>
      </w:r>
      <w:r w:rsidR="00A41979">
        <w:t>if you think</w:t>
      </w:r>
      <w:r>
        <w:t xml:space="preserve"> this will be required.</w:t>
      </w:r>
    </w:p>
    <w:p w14:paraId="1029D9CA" w14:textId="77777777" w:rsidR="00502FBC" w:rsidRDefault="00502FBC" w:rsidP="00502FBC">
      <w:r>
        <w:t xml:space="preserve">The following are </w:t>
      </w:r>
      <w:r w:rsidRPr="00BE6783">
        <w:rPr>
          <w:b/>
          <w:bCs/>
        </w:rPr>
        <w:t xml:space="preserve">not </w:t>
      </w:r>
      <w:r>
        <w:t>eligible for funding via this programme:</w:t>
      </w:r>
    </w:p>
    <w:p w14:paraId="570F0994" w14:textId="74E7300E" w:rsidR="00502FBC" w:rsidRDefault="00502FBC" w:rsidP="00775F86">
      <w:pPr>
        <w:pStyle w:val="ListParagraph"/>
        <w:numPr>
          <w:ilvl w:val="0"/>
          <w:numId w:val="7"/>
        </w:numPr>
      </w:pPr>
      <w:r>
        <w:t>Individuals, or organisations applying on behalf of individuals</w:t>
      </w:r>
      <w:r w:rsidR="00F60758">
        <w:t>.</w:t>
      </w:r>
    </w:p>
    <w:p w14:paraId="76EF4482" w14:textId="727D6F02" w:rsidR="00502FBC" w:rsidRDefault="00502FBC" w:rsidP="00775F86">
      <w:pPr>
        <w:pStyle w:val="ListParagraph"/>
        <w:numPr>
          <w:ilvl w:val="0"/>
          <w:numId w:val="7"/>
        </w:numPr>
      </w:pPr>
      <w:r>
        <w:t>Organisations established for less than 12 months as of J</w:t>
      </w:r>
      <w:r w:rsidR="009F10BC">
        <w:t>anuary</w:t>
      </w:r>
      <w:r>
        <w:t xml:space="preserve"> 202</w:t>
      </w:r>
      <w:r w:rsidR="009F10BC">
        <w:t>4</w:t>
      </w:r>
    </w:p>
    <w:p w14:paraId="1CF61B03" w14:textId="7877A579" w:rsidR="00502FBC" w:rsidRDefault="00502FBC" w:rsidP="00775F86">
      <w:pPr>
        <w:pStyle w:val="ListParagraph"/>
        <w:numPr>
          <w:ilvl w:val="0"/>
          <w:numId w:val="7"/>
        </w:numPr>
      </w:pPr>
      <w:r>
        <w:t>Statutory bodies</w:t>
      </w:r>
      <w:r w:rsidR="00775F86">
        <w:t>, c</w:t>
      </w:r>
      <w:r>
        <w:t>ompanies limited by shares</w:t>
      </w:r>
      <w:r w:rsidR="00775F86">
        <w:t>, NHS organisations/GP practices</w:t>
      </w:r>
      <w:r w:rsidR="00682DDE">
        <w:t>.</w:t>
      </w:r>
    </w:p>
    <w:p w14:paraId="786D2834" w14:textId="66B0E7CF" w:rsidR="00775F86" w:rsidRDefault="00502FBC" w:rsidP="00775F86">
      <w:pPr>
        <w:pStyle w:val="ListParagraph"/>
        <w:numPr>
          <w:ilvl w:val="0"/>
          <w:numId w:val="7"/>
        </w:numPr>
      </w:pPr>
      <w:r>
        <w:t xml:space="preserve">Universities, </w:t>
      </w:r>
      <w:proofErr w:type="gramStart"/>
      <w:r>
        <w:t>colleges</w:t>
      </w:r>
      <w:proofErr w:type="gramEnd"/>
      <w:r>
        <w:t xml:space="preserve"> or schools</w:t>
      </w:r>
      <w:r w:rsidR="00775F86">
        <w:t>, medical or academic research,</w:t>
      </w:r>
      <w:r w:rsidR="00775F86" w:rsidRPr="00775F86">
        <w:t xml:space="preserve"> </w:t>
      </w:r>
      <w:r w:rsidR="00775F86">
        <w:t>scholarships or bursaries</w:t>
      </w:r>
    </w:p>
    <w:p w14:paraId="3A9BF637" w14:textId="642B71E9" w:rsidR="00502FBC" w:rsidRDefault="00502FBC" w:rsidP="00775F86">
      <w:pPr>
        <w:pStyle w:val="ListParagraph"/>
        <w:numPr>
          <w:ilvl w:val="0"/>
          <w:numId w:val="7"/>
        </w:numPr>
      </w:pPr>
      <w:r>
        <w:t>Organisations set up to support animals</w:t>
      </w:r>
      <w:r w:rsidR="00F60758">
        <w:t>.</w:t>
      </w:r>
    </w:p>
    <w:p w14:paraId="0C416B55" w14:textId="3E98A567" w:rsidR="00502FBC" w:rsidRDefault="00502FBC" w:rsidP="00775F86">
      <w:pPr>
        <w:pStyle w:val="ListParagraph"/>
        <w:numPr>
          <w:ilvl w:val="0"/>
          <w:numId w:val="7"/>
        </w:numPr>
      </w:pPr>
      <w:r>
        <w:t>The promotion of religion or political views</w:t>
      </w:r>
    </w:p>
    <w:p w14:paraId="010E3205" w14:textId="34C14FCC" w:rsidR="00775F86" w:rsidRDefault="00D0239A" w:rsidP="00775F86">
      <w:pPr>
        <w:pStyle w:val="ListParagraph"/>
        <w:numPr>
          <w:ilvl w:val="0"/>
          <w:numId w:val="7"/>
        </w:numPr>
      </w:pPr>
      <w:r>
        <w:t xml:space="preserve">Purchasing or promotion of alcohol, </w:t>
      </w:r>
      <w:proofErr w:type="gramStart"/>
      <w:r>
        <w:t>tobacco</w:t>
      </w:r>
      <w:proofErr w:type="gramEnd"/>
      <w:r>
        <w:t xml:space="preserve"> or illegal drugs</w:t>
      </w:r>
    </w:p>
    <w:p w14:paraId="44BF5D11" w14:textId="71BDD5FA" w:rsidR="00502FBC" w:rsidRDefault="00502FBC" w:rsidP="00775F86">
      <w:pPr>
        <w:pStyle w:val="ListParagraph"/>
        <w:numPr>
          <w:ilvl w:val="0"/>
          <w:numId w:val="7"/>
        </w:numPr>
      </w:pPr>
      <w:r>
        <w:t>Large capital costs including large scale renovations and the purchase of vehicles</w:t>
      </w:r>
      <w:r w:rsidR="00F60758">
        <w:t>.</w:t>
      </w:r>
    </w:p>
    <w:p w14:paraId="7C62300F" w14:textId="1AC6CBF6" w:rsidR="00502FBC" w:rsidRDefault="00502FBC" w:rsidP="00775F86">
      <w:pPr>
        <w:pStyle w:val="ListParagraph"/>
        <w:numPr>
          <w:ilvl w:val="0"/>
          <w:numId w:val="7"/>
        </w:numPr>
      </w:pPr>
      <w:r>
        <w:t>The promotion of philanthropy and endowment appeals</w:t>
      </w:r>
      <w:r w:rsidR="00F60758">
        <w:t>.</w:t>
      </w:r>
    </w:p>
    <w:p w14:paraId="1DB82897" w14:textId="578B64D2" w:rsidR="00502FBC" w:rsidRDefault="00502FBC" w:rsidP="00775F86">
      <w:pPr>
        <w:pStyle w:val="ListParagraph"/>
        <w:numPr>
          <w:ilvl w:val="0"/>
          <w:numId w:val="7"/>
        </w:numPr>
      </w:pPr>
      <w:r>
        <w:t>Retrospective funding: costs that have already been incurred</w:t>
      </w:r>
      <w:r w:rsidR="00F60758">
        <w:t>.</w:t>
      </w:r>
    </w:p>
    <w:p w14:paraId="557B920F" w14:textId="77777777" w:rsidR="007C1BE1" w:rsidRDefault="007C1BE1" w:rsidP="007C1BE1">
      <w:pPr>
        <w:pStyle w:val="ListParagraph"/>
      </w:pPr>
    </w:p>
    <w:p w14:paraId="129C4F2C" w14:textId="77777777" w:rsidR="007C1BE1" w:rsidRDefault="007C1BE1" w:rsidP="007C1BE1">
      <w:pPr>
        <w:pStyle w:val="ListParagraph"/>
      </w:pPr>
    </w:p>
    <w:p w14:paraId="4AF1C3FB" w14:textId="4C47DDCD" w:rsidR="00664A74" w:rsidRDefault="004C14E0" w:rsidP="00664A74">
      <w:pPr>
        <w:pStyle w:val="Heading2"/>
      </w:pPr>
      <w:bookmarkStart w:id="9" w:name="_Toc153968811"/>
      <w:r>
        <w:t>Ward Map</w:t>
      </w:r>
      <w:bookmarkEnd w:id="9"/>
    </w:p>
    <w:p w14:paraId="14D56B6D" w14:textId="3298BD2E" w:rsidR="00BF4C64" w:rsidRPr="00E6378B" w:rsidRDefault="005F6F1E" w:rsidP="00BF4C64">
      <w:r w:rsidRPr="00E6378B">
        <w:t>The map</w:t>
      </w:r>
      <w:r w:rsidR="00BF4C64" w:rsidRPr="00E6378B">
        <w:t xml:space="preserve"> below, </w:t>
      </w:r>
      <w:r w:rsidRPr="00E6378B">
        <w:t>shows the areas o</w:t>
      </w:r>
      <w:r w:rsidR="0054520B" w:rsidRPr="00E6378B">
        <w:t>f</w:t>
      </w:r>
      <w:r w:rsidRPr="00E6378B">
        <w:t xml:space="preserve"> multiple deprivation and this fund is to support </w:t>
      </w:r>
      <w:r w:rsidR="00BF4C64" w:rsidRPr="00E6378B">
        <w:t xml:space="preserve">people in the areas shaded red and </w:t>
      </w:r>
      <w:r w:rsidR="00E6378B" w:rsidRPr="00E6378B">
        <w:t>purpl</w:t>
      </w:r>
      <w:r w:rsidR="007C1BE1">
        <w:t>e</w:t>
      </w:r>
      <w:r w:rsidR="00BF4C64" w:rsidRPr="00E6378B">
        <w:t>.</w:t>
      </w:r>
    </w:p>
    <w:p w14:paraId="648F31C4" w14:textId="77777777" w:rsidR="00E6378B" w:rsidRPr="00E6378B" w:rsidRDefault="00E6378B" w:rsidP="00E6378B">
      <w:pPr>
        <w:spacing w:after="0"/>
      </w:pPr>
      <w:r w:rsidRPr="00E6378B">
        <w:t>Information on Liverpool wards and data is available at</w:t>
      </w:r>
    </w:p>
    <w:p w14:paraId="64752536" w14:textId="77777777" w:rsidR="00E6378B" w:rsidRPr="00E6378B" w:rsidRDefault="0098375D" w:rsidP="00E6378B">
      <w:pPr>
        <w:spacing w:after="0"/>
      </w:pPr>
      <w:hyperlink r:id="rId14" w:history="1">
        <w:r w:rsidR="00E6378B" w:rsidRPr="00E6378B">
          <w:rPr>
            <w:rStyle w:val="Hyperlink"/>
          </w:rPr>
          <w:t>https://liverpool.gov.uk/council/key-statistics-and-data/ward-information/ward-profiles/</w:t>
        </w:r>
      </w:hyperlink>
    </w:p>
    <w:p w14:paraId="7D216FDD" w14:textId="77777777" w:rsidR="00E6378B" w:rsidRPr="00E6378B" w:rsidRDefault="00E6378B" w:rsidP="00E6378B">
      <w:pPr>
        <w:spacing w:after="0"/>
      </w:pPr>
      <w:r w:rsidRPr="00E6378B">
        <w:t>including a postcode look up facility.</w:t>
      </w:r>
    </w:p>
    <w:p w14:paraId="06CD7D08" w14:textId="77777777" w:rsidR="00E6378B" w:rsidRPr="00E6378B" w:rsidRDefault="00E6378B" w:rsidP="00E6378B">
      <w:r w:rsidRPr="00E6378B">
        <w:t xml:space="preserve">Further information on Indices of Deprivation  </w:t>
      </w:r>
      <w:hyperlink r:id="rId15" w:history="1">
        <w:r w:rsidRPr="00E6378B">
          <w:rPr>
            <w:rStyle w:val="Hyperlink"/>
          </w:rPr>
          <w:t>here</w:t>
        </w:r>
      </w:hyperlink>
      <w:r w:rsidRPr="00E6378B">
        <w:t xml:space="preserve"> </w:t>
      </w:r>
    </w:p>
    <w:p w14:paraId="1AF5D8E9" w14:textId="77777777" w:rsidR="00E6378B" w:rsidRPr="007D1597" w:rsidRDefault="00E6378B" w:rsidP="00BF4C64"/>
    <w:p w14:paraId="22E2CB32" w14:textId="46F29796" w:rsidR="000554D8" w:rsidRDefault="00E6378B" w:rsidP="00BF4C64">
      <w:pPr>
        <w:spacing w:after="0"/>
        <w:rPr>
          <w:sz w:val="20"/>
          <w:szCs w:val="20"/>
        </w:rPr>
      </w:pPr>
      <w:r w:rsidRPr="00E6378B">
        <w:rPr>
          <w:noProof/>
          <w:sz w:val="20"/>
          <w:szCs w:val="20"/>
        </w:rPr>
        <w:lastRenderedPageBreak/>
        <w:drawing>
          <wp:inline distT="0" distB="0" distL="0" distR="0" wp14:anchorId="21135BFD" wp14:editId="5E56E2B2">
            <wp:extent cx="3965944" cy="5803883"/>
            <wp:effectExtent l="0" t="0" r="0" b="6985"/>
            <wp:docPr id="59101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1732" cy="5856257"/>
                    </a:xfrm>
                    <a:prstGeom prst="rect">
                      <a:avLst/>
                    </a:prstGeom>
                    <a:noFill/>
                    <a:ln>
                      <a:noFill/>
                    </a:ln>
                  </pic:spPr>
                </pic:pic>
              </a:graphicData>
            </a:graphic>
          </wp:inline>
        </w:drawing>
      </w:r>
    </w:p>
    <w:p w14:paraId="3C895665" w14:textId="4C8A4370" w:rsidR="005B1084" w:rsidRDefault="005B1084" w:rsidP="00BF4C64">
      <w:pPr>
        <w:spacing w:after="0"/>
        <w:rPr>
          <w:sz w:val="20"/>
          <w:szCs w:val="20"/>
        </w:rPr>
      </w:pPr>
    </w:p>
    <w:p w14:paraId="3E60FBD0" w14:textId="5777C44F" w:rsidR="00834F3A" w:rsidRPr="00B878D2" w:rsidRDefault="00386ED0" w:rsidP="00196E1B">
      <w:pPr>
        <w:pStyle w:val="Heading1"/>
      </w:pPr>
      <w:bookmarkStart w:id="10" w:name="_Toc153968812"/>
      <w:r w:rsidRPr="00B878D2">
        <w:t>TIMELINE</w:t>
      </w:r>
      <w:bookmarkEnd w:id="10"/>
    </w:p>
    <w:p w14:paraId="302E406D" w14:textId="77777777" w:rsidR="00A47F96" w:rsidRDefault="00A47F96" w:rsidP="00B20B21">
      <w:bookmarkStart w:id="11" w:name="_Hlk106282283"/>
    </w:p>
    <w:tbl>
      <w:tblPr>
        <w:tblStyle w:val="TableGrid"/>
        <w:tblW w:w="7715" w:type="dxa"/>
        <w:tblInd w:w="360" w:type="dxa"/>
        <w:tblLook w:val="04A0" w:firstRow="1" w:lastRow="0" w:firstColumn="1" w:lastColumn="0" w:noHBand="0" w:noVBand="1"/>
      </w:tblPr>
      <w:tblGrid>
        <w:gridCol w:w="5545"/>
        <w:gridCol w:w="2170"/>
      </w:tblGrid>
      <w:tr w:rsidR="00B878D2" w:rsidRPr="002D750F" w14:paraId="11B041D8" w14:textId="77777777" w:rsidTr="00B878D2">
        <w:tc>
          <w:tcPr>
            <w:tcW w:w="5545" w:type="dxa"/>
          </w:tcPr>
          <w:p w14:paraId="4059206E" w14:textId="77777777" w:rsidR="00B878D2" w:rsidRPr="00301A97" w:rsidRDefault="00B878D2" w:rsidP="001278CB">
            <w:pPr>
              <w:tabs>
                <w:tab w:val="left" w:pos="1494"/>
                <w:tab w:val="left" w:pos="1636"/>
              </w:tabs>
              <w:rPr>
                <w:rFonts w:asciiTheme="minorHAnsi" w:hAnsiTheme="minorHAnsi" w:cstheme="minorHAnsi"/>
                <w:b/>
                <w:bCs/>
              </w:rPr>
            </w:pPr>
            <w:bookmarkStart w:id="12" w:name="_Hlk106281181"/>
            <w:r w:rsidRPr="00301A97">
              <w:rPr>
                <w:rFonts w:asciiTheme="minorHAnsi" w:hAnsiTheme="minorHAnsi" w:cstheme="minorHAnsi"/>
                <w:b/>
                <w:bCs/>
              </w:rPr>
              <w:t>TASK</w:t>
            </w:r>
          </w:p>
        </w:tc>
        <w:tc>
          <w:tcPr>
            <w:tcW w:w="2170" w:type="dxa"/>
          </w:tcPr>
          <w:p w14:paraId="2402D26F" w14:textId="77777777" w:rsidR="00B878D2" w:rsidRPr="002D750F" w:rsidRDefault="00B878D2" w:rsidP="001278CB">
            <w:pPr>
              <w:pStyle w:val="ListParagraph"/>
              <w:ind w:left="0"/>
              <w:rPr>
                <w:rFonts w:asciiTheme="minorHAnsi" w:hAnsiTheme="minorHAnsi" w:cstheme="minorHAnsi"/>
                <w:b/>
                <w:bCs/>
              </w:rPr>
            </w:pPr>
            <w:r w:rsidRPr="002D750F">
              <w:rPr>
                <w:rFonts w:asciiTheme="minorHAnsi" w:hAnsiTheme="minorHAnsi" w:cstheme="minorHAnsi"/>
                <w:b/>
                <w:bCs/>
              </w:rPr>
              <w:t>Date</w:t>
            </w:r>
          </w:p>
        </w:tc>
      </w:tr>
      <w:tr w:rsidR="00B878D2" w:rsidRPr="002D750F" w14:paraId="6277A0BE" w14:textId="77777777" w:rsidTr="00B878D2">
        <w:tc>
          <w:tcPr>
            <w:tcW w:w="5545" w:type="dxa"/>
          </w:tcPr>
          <w:p w14:paraId="24061A34" w14:textId="77777777" w:rsidR="00B878D2" w:rsidRPr="002D750F" w:rsidRDefault="00B878D2" w:rsidP="0069734A">
            <w:pPr>
              <w:pStyle w:val="ListParagraph"/>
              <w:numPr>
                <w:ilvl w:val="0"/>
                <w:numId w:val="15"/>
              </w:numPr>
              <w:tabs>
                <w:tab w:val="left" w:pos="1494"/>
                <w:tab w:val="left" w:pos="1636"/>
              </w:tabs>
              <w:spacing w:after="200"/>
              <w:ind w:left="362" w:hanging="362"/>
              <w:contextualSpacing w:val="0"/>
              <w:rPr>
                <w:rFonts w:asciiTheme="minorHAnsi" w:hAnsiTheme="minorHAnsi" w:cstheme="minorHAnsi"/>
              </w:rPr>
            </w:pPr>
            <w:r w:rsidRPr="002D750F">
              <w:rPr>
                <w:rFonts w:asciiTheme="minorHAnsi" w:hAnsiTheme="minorHAnsi" w:cstheme="minorHAnsi"/>
              </w:rPr>
              <w:t>Briefing event</w:t>
            </w:r>
          </w:p>
        </w:tc>
        <w:tc>
          <w:tcPr>
            <w:tcW w:w="2170" w:type="dxa"/>
          </w:tcPr>
          <w:p w14:paraId="69D66927" w14:textId="1CC033F2" w:rsidR="00B878D2" w:rsidRPr="002D750F" w:rsidRDefault="006E4799" w:rsidP="001278CB">
            <w:pPr>
              <w:pStyle w:val="ListParagraph"/>
              <w:ind w:left="0"/>
              <w:rPr>
                <w:rFonts w:asciiTheme="minorHAnsi" w:hAnsiTheme="minorHAnsi" w:cstheme="minorHAnsi"/>
              </w:rPr>
            </w:pPr>
            <w:r>
              <w:rPr>
                <w:rFonts w:asciiTheme="minorHAnsi" w:hAnsiTheme="minorHAnsi" w:cstheme="minorHAnsi"/>
              </w:rPr>
              <w:t>11</w:t>
            </w:r>
            <w:r w:rsidRPr="006E4799">
              <w:rPr>
                <w:rFonts w:asciiTheme="minorHAnsi" w:hAnsiTheme="minorHAnsi" w:cstheme="minorHAnsi"/>
                <w:vertAlign w:val="superscript"/>
              </w:rPr>
              <w:t>th</w:t>
            </w:r>
            <w:r>
              <w:rPr>
                <w:rFonts w:asciiTheme="minorHAnsi" w:hAnsiTheme="minorHAnsi" w:cstheme="minorHAnsi"/>
              </w:rPr>
              <w:t xml:space="preserve"> January 2024</w:t>
            </w:r>
          </w:p>
        </w:tc>
      </w:tr>
      <w:tr w:rsidR="00B878D2" w:rsidRPr="002D750F" w14:paraId="660DD918" w14:textId="77777777" w:rsidTr="00B878D2">
        <w:tc>
          <w:tcPr>
            <w:tcW w:w="5545" w:type="dxa"/>
          </w:tcPr>
          <w:p w14:paraId="225E775C" w14:textId="77777777" w:rsidR="00B878D2" w:rsidRPr="002D750F" w:rsidRDefault="00B878D2" w:rsidP="0069734A">
            <w:pPr>
              <w:pStyle w:val="ListParagraph"/>
              <w:numPr>
                <w:ilvl w:val="0"/>
                <w:numId w:val="15"/>
              </w:numPr>
              <w:tabs>
                <w:tab w:val="left" w:pos="1494"/>
                <w:tab w:val="left" w:pos="1636"/>
              </w:tabs>
              <w:spacing w:after="200"/>
              <w:ind w:left="362" w:hanging="362"/>
              <w:contextualSpacing w:val="0"/>
              <w:rPr>
                <w:rFonts w:asciiTheme="minorHAnsi" w:hAnsiTheme="minorHAnsi" w:cstheme="minorHAnsi"/>
              </w:rPr>
            </w:pPr>
            <w:r w:rsidRPr="002D750F">
              <w:rPr>
                <w:rFonts w:asciiTheme="minorHAnsi" w:hAnsiTheme="minorHAnsi" w:cstheme="minorHAnsi"/>
              </w:rPr>
              <w:t>Closing date for applications</w:t>
            </w:r>
          </w:p>
        </w:tc>
        <w:tc>
          <w:tcPr>
            <w:tcW w:w="2170" w:type="dxa"/>
          </w:tcPr>
          <w:p w14:paraId="19CBEE16" w14:textId="381563B6" w:rsidR="00B878D2" w:rsidRPr="002D750F" w:rsidRDefault="00B878D2" w:rsidP="001278CB">
            <w:pPr>
              <w:pStyle w:val="ListParagraph"/>
              <w:ind w:left="0"/>
              <w:rPr>
                <w:rFonts w:asciiTheme="minorHAnsi" w:hAnsiTheme="minorHAnsi" w:cstheme="minorHAnsi"/>
              </w:rPr>
            </w:pPr>
            <w:r w:rsidRPr="002D750F">
              <w:rPr>
                <w:rFonts w:asciiTheme="minorHAnsi" w:hAnsiTheme="minorHAnsi" w:cstheme="minorHAnsi"/>
              </w:rPr>
              <w:t>5</w:t>
            </w:r>
            <w:r w:rsidR="00631792" w:rsidRPr="00631792">
              <w:rPr>
                <w:rFonts w:asciiTheme="minorHAnsi" w:hAnsiTheme="minorHAnsi" w:cstheme="minorHAnsi"/>
                <w:vertAlign w:val="superscript"/>
              </w:rPr>
              <w:t>th</w:t>
            </w:r>
            <w:r w:rsidR="00631792">
              <w:rPr>
                <w:rFonts w:asciiTheme="minorHAnsi" w:hAnsiTheme="minorHAnsi" w:cstheme="minorHAnsi"/>
              </w:rPr>
              <w:t xml:space="preserve"> </w:t>
            </w:r>
            <w:r w:rsidRPr="002D750F">
              <w:rPr>
                <w:rFonts w:asciiTheme="minorHAnsi" w:hAnsiTheme="minorHAnsi" w:cstheme="minorHAnsi"/>
              </w:rPr>
              <w:t xml:space="preserve"> Feb</w:t>
            </w:r>
            <w:r w:rsidR="00631792">
              <w:rPr>
                <w:rFonts w:asciiTheme="minorHAnsi" w:hAnsiTheme="minorHAnsi" w:cstheme="minorHAnsi"/>
              </w:rPr>
              <w:t>ruary 20</w:t>
            </w:r>
            <w:r w:rsidRPr="002D750F">
              <w:rPr>
                <w:rFonts w:asciiTheme="minorHAnsi" w:hAnsiTheme="minorHAnsi" w:cstheme="minorHAnsi"/>
              </w:rPr>
              <w:t>24</w:t>
            </w:r>
          </w:p>
        </w:tc>
      </w:tr>
      <w:tr w:rsidR="00B878D2" w:rsidRPr="002D750F" w14:paraId="57A6B038" w14:textId="77777777" w:rsidTr="00B878D2">
        <w:tc>
          <w:tcPr>
            <w:tcW w:w="5545" w:type="dxa"/>
          </w:tcPr>
          <w:p w14:paraId="2370CB40" w14:textId="77777777" w:rsidR="00B878D2" w:rsidRPr="002D750F" w:rsidRDefault="00B878D2" w:rsidP="0069734A">
            <w:pPr>
              <w:pStyle w:val="ListParagraph"/>
              <w:numPr>
                <w:ilvl w:val="0"/>
                <w:numId w:val="15"/>
              </w:numPr>
              <w:tabs>
                <w:tab w:val="left" w:pos="1494"/>
                <w:tab w:val="left" w:pos="1636"/>
              </w:tabs>
              <w:spacing w:after="200"/>
              <w:ind w:left="362" w:hanging="362"/>
              <w:contextualSpacing w:val="0"/>
              <w:rPr>
                <w:rFonts w:asciiTheme="minorHAnsi" w:hAnsiTheme="minorHAnsi" w:cstheme="minorHAnsi"/>
              </w:rPr>
            </w:pPr>
            <w:r w:rsidRPr="002D750F">
              <w:rPr>
                <w:rFonts w:asciiTheme="minorHAnsi" w:hAnsiTheme="minorHAnsi" w:cstheme="minorHAnsi"/>
              </w:rPr>
              <w:t>Award offers sent by email</w:t>
            </w:r>
          </w:p>
        </w:tc>
        <w:tc>
          <w:tcPr>
            <w:tcW w:w="2170" w:type="dxa"/>
          </w:tcPr>
          <w:p w14:paraId="5F31121D" w14:textId="79E1F497" w:rsidR="00B878D2" w:rsidRPr="002D750F" w:rsidRDefault="00D625D3" w:rsidP="001278CB">
            <w:pPr>
              <w:pStyle w:val="ListParagraph"/>
              <w:ind w:left="0"/>
              <w:rPr>
                <w:rFonts w:asciiTheme="minorHAnsi" w:hAnsiTheme="minorHAnsi" w:cstheme="minorHAnsi"/>
              </w:rPr>
            </w:pPr>
            <w:r>
              <w:rPr>
                <w:rFonts w:asciiTheme="minorHAnsi" w:hAnsiTheme="minorHAnsi" w:cstheme="minorHAnsi"/>
              </w:rPr>
              <w:t xml:space="preserve">End </w:t>
            </w:r>
            <w:r w:rsidR="00B878D2" w:rsidRPr="002D750F">
              <w:rPr>
                <w:rFonts w:asciiTheme="minorHAnsi" w:hAnsiTheme="minorHAnsi" w:cstheme="minorHAnsi"/>
              </w:rPr>
              <w:t>Feb</w:t>
            </w:r>
            <w:r>
              <w:rPr>
                <w:rFonts w:asciiTheme="minorHAnsi" w:hAnsiTheme="minorHAnsi" w:cstheme="minorHAnsi"/>
              </w:rPr>
              <w:t>/Early March</w:t>
            </w:r>
            <w:r w:rsidR="00B878D2" w:rsidRPr="002D750F">
              <w:rPr>
                <w:rFonts w:asciiTheme="minorHAnsi" w:hAnsiTheme="minorHAnsi" w:cstheme="minorHAnsi"/>
              </w:rPr>
              <w:t xml:space="preserve"> 24</w:t>
            </w:r>
          </w:p>
        </w:tc>
      </w:tr>
      <w:tr w:rsidR="00B878D2" w:rsidRPr="002D750F" w14:paraId="199AC58C" w14:textId="77777777" w:rsidTr="00B878D2">
        <w:tc>
          <w:tcPr>
            <w:tcW w:w="5545" w:type="dxa"/>
          </w:tcPr>
          <w:p w14:paraId="30C33381" w14:textId="744A17B1" w:rsidR="00B878D2" w:rsidRPr="002D750F" w:rsidRDefault="00B878D2" w:rsidP="0069734A">
            <w:pPr>
              <w:pStyle w:val="ListParagraph"/>
              <w:numPr>
                <w:ilvl w:val="0"/>
                <w:numId w:val="15"/>
              </w:numPr>
              <w:tabs>
                <w:tab w:val="left" w:pos="1494"/>
                <w:tab w:val="left" w:pos="1636"/>
              </w:tabs>
              <w:spacing w:after="200"/>
              <w:ind w:left="362" w:hanging="362"/>
              <w:contextualSpacing w:val="0"/>
              <w:rPr>
                <w:rFonts w:asciiTheme="minorHAnsi" w:hAnsiTheme="minorHAnsi" w:cstheme="minorHAnsi"/>
              </w:rPr>
            </w:pPr>
            <w:r w:rsidRPr="002D750F">
              <w:rPr>
                <w:rFonts w:asciiTheme="minorHAnsi" w:hAnsiTheme="minorHAnsi" w:cstheme="minorHAnsi"/>
              </w:rPr>
              <w:t xml:space="preserve">Signed </w:t>
            </w:r>
            <w:r w:rsidR="00D625D3">
              <w:rPr>
                <w:rFonts w:asciiTheme="minorHAnsi" w:hAnsiTheme="minorHAnsi" w:cstheme="minorHAnsi"/>
              </w:rPr>
              <w:t>offers exchanged</w:t>
            </w:r>
          </w:p>
        </w:tc>
        <w:tc>
          <w:tcPr>
            <w:tcW w:w="2170" w:type="dxa"/>
          </w:tcPr>
          <w:p w14:paraId="74F918E9" w14:textId="1EA5CB6F" w:rsidR="00B878D2" w:rsidRPr="002D750F" w:rsidRDefault="00B878D2" w:rsidP="001278CB">
            <w:pPr>
              <w:pStyle w:val="ListParagraph"/>
              <w:ind w:left="0"/>
              <w:rPr>
                <w:rFonts w:asciiTheme="minorHAnsi" w:hAnsiTheme="minorHAnsi" w:cstheme="minorHAnsi"/>
              </w:rPr>
            </w:pPr>
            <w:r w:rsidRPr="002D750F">
              <w:rPr>
                <w:rFonts w:asciiTheme="minorHAnsi" w:hAnsiTheme="minorHAnsi" w:cstheme="minorHAnsi"/>
              </w:rPr>
              <w:t>Mar</w:t>
            </w:r>
            <w:r w:rsidR="00631792">
              <w:rPr>
                <w:rFonts w:asciiTheme="minorHAnsi" w:hAnsiTheme="minorHAnsi" w:cstheme="minorHAnsi"/>
              </w:rPr>
              <w:t>ch</w:t>
            </w:r>
            <w:r w:rsidRPr="002D750F">
              <w:rPr>
                <w:rFonts w:asciiTheme="minorHAnsi" w:hAnsiTheme="minorHAnsi" w:cstheme="minorHAnsi"/>
              </w:rPr>
              <w:t xml:space="preserve"> </w:t>
            </w:r>
            <w:r w:rsidR="00CD45D1">
              <w:rPr>
                <w:rFonts w:asciiTheme="minorHAnsi" w:hAnsiTheme="minorHAnsi" w:cstheme="minorHAnsi"/>
              </w:rPr>
              <w:t>20</w:t>
            </w:r>
            <w:r w:rsidRPr="002D750F">
              <w:rPr>
                <w:rFonts w:asciiTheme="minorHAnsi" w:hAnsiTheme="minorHAnsi" w:cstheme="minorHAnsi"/>
              </w:rPr>
              <w:t>24</w:t>
            </w:r>
          </w:p>
        </w:tc>
      </w:tr>
      <w:tr w:rsidR="00B878D2" w:rsidRPr="002D750F" w14:paraId="6FE9700E" w14:textId="77777777" w:rsidTr="00B878D2">
        <w:tc>
          <w:tcPr>
            <w:tcW w:w="5545" w:type="dxa"/>
          </w:tcPr>
          <w:p w14:paraId="61994195" w14:textId="77777777" w:rsidR="00B878D2" w:rsidRPr="002D750F" w:rsidRDefault="00B878D2" w:rsidP="0069734A">
            <w:pPr>
              <w:pStyle w:val="ListParagraph"/>
              <w:numPr>
                <w:ilvl w:val="0"/>
                <w:numId w:val="15"/>
              </w:numPr>
              <w:tabs>
                <w:tab w:val="left" w:pos="1494"/>
                <w:tab w:val="left" w:pos="1636"/>
              </w:tabs>
              <w:spacing w:after="200"/>
              <w:ind w:left="362" w:hanging="362"/>
              <w:contextualSpacing w:val="0"/>
              <w:rPr>
                <w:rFonts w:asciiTheme="minorHAnsi" w:hAnsiTheme="minorHAnsi" w:cstheme="minorHAnsi"/>
              </w:rPr>
            </w:pPr>
            <w:r w:rsidRPr="002D750F">
              <w:rPr>
                <w:rFonts w:asciiTheme="minorHAnsi" w:hAnsiTheme="minorHAnsi" w:cstheme="minorHAnsi"/>
              </w:rPr>
              <w:t>Programme begins</w:t>
            </w:r>
          </w:p>
        </w:tc>
        <w:tc>
          <w:tcPr>
            <w:tcW w:w="2170" w:type="dxa"/>
          </w:tcPr>
          <w:p w14:paraId="167A0E5E" w14:textId="3C8B01FD" w:rsidR="00B878D2" w:rsidRPr="002D750F" w:rsidRDefault="00B878D2" w:rsidP="001278CB">
            <w:pPr>
              <w:pStyle w:val="ListParagraph"/>
              <w:ind w:left="0"/>
              <w:rPr>
                <w:rFonts w:asciiTheme="minorHAnsi" w:hAnsiTheme="minorHAnsi" w:cstheme="minorHAnsi"/>
              </w:rPr>
            </w:pPr>
            <w:r w:rsidRPr="002D750F">
              <w:rPr>
                <w:rFonts w:asciiTheme="minorHAnsi" w:hAnsiTheme="minorHAnsi" w:cstheme="minorHAnsi"/>
              </w:rPr>
              <w:t xml:space="preserve">April </w:t>
            </w:r>
            <w:r w:rsidR="00CD45D1">
              <w:rPr>
                <w:rFonts w:asciiTheme="minorHAnsi" w:hAnsiTheme="minorHAnsi" w:cstheme="minorHAnsi"/>
              </w:rPr>
              <w:t>20</w:t>
            </w:r>
            <w:r w:rsidRPr="002D750F">
              <w:rPr>
                <w:rFonts w:asciiTheme="minorHAnsi" w:hAnsiTheme="minorHAnsi" w:cstheme="minorHAnsi"/>
              </w:rPr>
              <w:t>24</w:t>
            </w:r>
          </w:p>
        </w:tc>
      </w:tr>
      <w:bookmarkEnd w:id="11"/>
      <w:bookmarkEnd w:id="12"/>
    </w:tbl>
    <w:p w14:paraId="2CAA9C4C" w14:textId="77777777" w:rsidR="00720A3A" w:rsidRDefault="00720A3A" w:rsidP="00D0239A"/>
    <w:sectPr w:rsidR="00720A3A" w:rsidSect="002766AF">
      <w:headerReference w:type="default" r:id="rId17"/>
      <w:footerReference w:type="default" r:id="rId1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051F" w14:textId="77777777" w:rsidR="001F162A" w:rsidRDefault="001F162A" w:rsidP="001F162A">
      <w:pPr>
        <w:spacing w:after="0" w:line="240" w:lineRule="auto"/>
      </w:pPr>
      <w:r>
        <w:separator/>
      </w:r>
    </w:p>
  </w:endnote>
  <w:endnote w:type="continuationSeparator" w:id="0">
    <w:p w14:paraId="333FBB68" w14:textId="77777777" w:rsidR="001F162A" w:rsidRDefault="001F162A" w:rsidP="001F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25006"/>
      <w:docPartObj>
        <w:docPartGallery w:val="Page Numbers (Bottom of Page)"/>
        <w:docPartUnique/>
      </w:docPartObj>
    </w:sdtPr>
    <w:sdtEndPr>
      <w:rPr>
        <w:noProof/>
      </w:rPr>
    </w:sdtEndPr>
    <w:sdtContent>
      <w:p w14:paraId="4A243676" w14:textId="2C819099" w:rsidR="005F6F1E" w:rsidRDefault="005F6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C945" w14:textId="77777777" w:rsidR="001F162A" w:rsidRDefault="001F162A" w:rsidP="001F162A">
      <w:pPr>
        <w:spacing w:after="0" w:line="240" w:lineRule="auto"/>
      </w:pPr>
      <w:r>
        <w:separator/>
      </w:r>
    </w:p>
  </w:footnote>
  <w:footnote w:type="continuationSeparator" w:id="0">
    <w:p w14:paraId="2A4CC023" w14:textId="77777777" w:rsidR="001F162A" w:rsidRDefault="001F162A" w:rsidP="001F162A">
      <w:pPr>
        <w:spacing w:after="0" w:line="240" w:lineRule="auto"/>
      </w:pPr>
      <w:r>
        <w:continuationSeparator/>
      </w:r>
    </w:p>
  </w:footnote>
  <w:footnote w:id="1">
    <w:p w14:paraId="4E11FAC1" w14:textId="53C7256B" w:rsidR="001B11B1" w:rsidRDefault="001B11B1">
      <w:pPr>
        <w:pStyle w:val="FootnoteText"/>
      </w:pPr>
      <w:r>
        <w:rPr>
          <w:rStyle w:val="FootnoteReference"/>
        </w:rPr>
        <w:footnoteRef/>
      </w:r>
      <w:r>
        <w:t xml:space="preserve"> </w:t>
      </w:r>
      <w:r w:rsidRPr="001B11B1">
        <w:t>https://www.instituteofhealthequity.org/resources-reports/fair-society-healthy-lives-the-marmot-review/fair-society-healthy-lives-full-report-pdf.pdf</w:t>
      </w:r>
    </w:p>
  </w:footnote>
  <w:footnote w:id="2">
    <w:p w14:paraId="75922C49" w14:textId="5CEF210A" w:rsidR="001B11B1" w:rsidRDefault="001B11B1">
      <w:pPr>
        <w:pStyle w:val="FootnoteText"/>
      </w:pPr>
      <w:r>
        <w:rPr>
          <w:rStyle w:val="FootnoteReference"/>
        </w:rPr>
        <w:footnoteRef/>
      </w:r>
      <w:r>
        <w:t xml:space="preserve"> </w:t>
      </w:r>
      <w:r w:rsidRPr="001B11B1">
        <w:t>https://www.cheshireandmerseysidepartnership.co.uk/wp-content/uploads/2022/05/Cheshire-and-Merseyside_Executive-Summary-FINAL.pdf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37BC" w14:textId="5966DD3A" w:rsidR="001F162A" w:rsidRPr="006A2B2B" w:rsidRDefault="006A2B2B" w:rsidP="006A2B2B">
    <w:pPr>
      <w:pStyle w:val="Header"/>
      <w:jc w:val="right"/>
    </w:pPr>
    <w:r>
      <w:rPr>
        <w:noProof/>
      </w:rPr>
      <w:drawing>
        <wp:inline distT="0" distB="0" distL="0" distR="0" wp14:anchorId="0E109A16" wp14:editId="0323DCFB">
          <wp:extent cx="1023015" cy="516835"/>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227" cy="526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8F"/>
    <w:multiLevelType w:val="hybridMultilevel"/>
    <w:tmpl w:val="34E45F2E"/>
    <w:lvl w:ilvl="0" w:tplc="CD0488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2C2B"/>
    <w:multiLevelType w:val="hybridMultilevel"/>
    <w:tmpl w:val="65281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47546"/>
    <w:multiLevelType w:val="hybridMultilevel"/>
    <w:tmpl w:val="0DD025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4D67D7"/>
    <w:multiLevelType w:val="hybridMultilevel"/>
    <w:tmpl w:val="BE78A0C4"/>
    <w:lvl w:ilvl="0" w:tplc="8E305CA6">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155AA8"/>
    <w:multiLevelType w:val="hybridMultilevel"/>
    <w:tmpl w:val="39BE8E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670C8"/>
    <w:multiLevelType w:val="hybridMultilevel"/>
    <w:tmpl w:val="DB96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16322"/>
    <w:multiLevelType w:val="multilevel"/>
    <w:tmpl w:val="96001606"/>
    <w:lvl w:ilvl="0">
      <w:start w:val="3"/>
      <w:numFmt w:val="decimal"/>
      <w:lvlText w:val="%1"/>
      <w:lvlJc w:val="left"/>
      <w:pPr>
        <w:ind w:left="370" w:hanging="370"/>
      </w:pPr>
      <w:rPr>
        <w:rFonts w:hint="default"/>
      </w:rPr>
    </w:lvl>
    <w:lvl w:ilvl="1">
      <w:start w:val="1"/>
      <w:numFmt w:val="decimal"/>
      <w:lvlText w:val="%1.%2"/>
      <w:lvlJc w:val="left"/>
      <w:pPr>
        <w:ind w:left="730" w:hanging="3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D10DF5"/>
    <w:multiLevelType w:val="hybridMultilevel"/>
    <w:tmpl w:val="52423F4C"/>
    <w:lvl w:ilvl="0" w:tplc="527A98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37D2E"/>
    <w:multiLevelType w:val="hybridMultilevel"/>
    <w:tmpl w:val="3CEC9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C53D3"/>
    <w:multiLevelType w:val="hybridMultilevel"/>
    <w:tmpl w:val="30E29D76"/>
    <w:lvl w:ilvl="0" w:tplc="27A426F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E74EA"/>
    <w:multiLevelType w:val="hybridMultilevel"/>
    <w:tmpl w:val="5C7ECDD2"/>
    <w:lvl w:ilvl="0" w:tplc="8F924B3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25FBE"/>
    <w:multiLevelType w:val="hybridMultilevel"/>
    <w:tmpl w:val="7BECA790"/>
    <w:lvl w:ilvl="0" w:tplc="E78C903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60A4A"/>
    <w:multiLevelType w:val="multilevel"/>
    <w:tmpl w:val="F8B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D18CA"/>
    <w:multiLevelType w:val="hybridMultilevel"/>
    <w:tmpl w:val="6638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B2884"/>
    <w:multiLevelType w:val="hybridMultilevel"/>
    <w:tmpl w:val="B636E1D0"/>
    <w:lvl w:ilvl="0" w:tplc="91A2764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1B10EA"/>
    <w:multiLevelType w:val="hybridMultilevel"/>
    <w:tmpl w:val="7228C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C02B2C"/>
    <w:multiLevelType w:val="hybridMultilevel"/>
    <w:tmpl w:val="0F92C916"/>
    <w:lvl w:ilvl="0" w:tplc="08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56294730">
    <w:abstractNumId w:val="13"/>
  </w:num>
  <w:num w:numId="2" w16cid:durableId="88280824">
    <w:abstractNumId w:val="2"/>
  </w:num>
  <w:num w:numId="3" w16cid:durableId="1924796688">
    <w:abstractNumId w:val="6"/>
  </w:num>
  <w:num w:numId="4" w16cid:durableId="1290159952">
    <w:abstractNumId w:val="1"/>
  </w:num>
  <w:num w:numId="5" w16cid:durableId="181405590">
    <w:abstractNumId w:val="0"/>
  </w:num>
  <w:num w:numId="6" w16cid:durableId="803160124">
    <w:abstractNumId w:val="4"/>
  </w:num>
  <w:num w:numId="7" w16cid:durableId="2029258832">
    <w:abstractNumId w:val="5"/>
  </w:num>
  <w:num w:numId="8" w16cid:durableId="901061021">
    <w:abstractNumId w:val="14"/>
  </w:num>
  <w:num w:numId="9" w16cid:durableId="850333904">
    <w:abstractNumId w:val="11"/>
  </w:num>
  <w:num w:numId="10" w16cid:durableId="970750351">
    <w:abstractNumId w:val="16"/>
  </w:num>
  <w:num w:numId="11" w16cid:durableId="1157723215">
    <w:abstractNumId w:val="15"/>
  </w:num>
  <w:num w:numId="12" w16cid:durableId="123819671">
    <w:abstractNumId w:val="10"/>
  </w:num>
  <w:num w:numId="13" w16cid:durableId="534585217">
    <w:abstractNumId w:val="12"/>
  </w:num>
  <w:num w:numId="14" w16cid:durableId="950162464">
    <w:abstractNumId w:val="9"/>
  </w:num>
  <w:num w:numId="15" w16cid:durableId="611283093">
    <w:abstractNumId w:val="8"/>
  </w:num>
  <w:num w:numId="16" w16cid:durableId="1019627915">
    <w:abstractNumId w:val="7"/>
  </w:num>
  <w:num w:numId="17" w16cid:durableId="191315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A3"/>
    <w:rsid w:val="00006EEC"/>
    <w:rsid w:val="00050C03"/>
    <w:rsid w:val="000554D8"/>
    <w:rsid w:val="00071FB6"/>
    <w:rsid w:val="00073072"/>
    <w:rsid w:val="000837B3"/>
    <w:rsid w:val="000A1E10"/>
    <w:rsid w:val="000B7B9E"/>
    <w:rsid w:val="000E3CB7"/>
    <w:rsid w:val="00115650"/>
    <w:rsid w:val="00125DC3"/>
    <w:rsid w:val="001330A3"/>
    <w:rsid w:val="00151827"/>
    <w:rsid w:val="001564C6"/>
    <w:rsid w:val="00167EEE"/>
    <w:rsid w:val="0017080E"/>
    <w:rsid w:val="001724AB"/>
    <w:rsid w:val="00196E1B"/>
    <w:rsid w:val="001B11B1"/>
    <w:rsid w:val="001B17AE"/>
    <w:rsid w:val="001F162A"/>
    <w:rsid w:val="001F4D1B"/>
    <w:rsid w:val="002068EB"/>
    <w:rsid w:val="00220BB3"/>
    <w:rsid w:val="00221930"/>
    <w:rsid w:val="00226598"/>
    <w:rsid w:val="00241666"/>
    <w:rsid w:val="00255CAA"/>
    <w:rsid w:val="002766AF"/>
    <w:rsid w:val="00282555"/>
    <w:rsid w:val="00290B18"/>
    <w:rsid w:val="00296CA2"/>
    <w:rsid w:val="002A3691"/>
    <w:rsid w:val="002E23B3"/>
    <w:rsid w:val="002E4B92"/>
    <w:rsid w:val="00323226"/>
    <w:rsid w:val="00353B11"/>
    <w:rsid w:val="00363503"/>
    <w:rsid w:val="00381CBF"/>
    <w:rsid w:val="0038563A"/>
    <w:rsid w:val="00386ED0"/>
    <w:rsid w:val="003D792D"/>
    <w:rsid w:val="003F7ABA"/>
    <w:rsid w:val="00412A9B"/>
    <w:rsid w:val="004406C0"/>
    <w:rsid w:val="00445F8D"/>
    <w:rsid w:val="00455248"/>
    <w:rsid w:val="00466F08"/>
    <w:rsid w:val="00467894"/>
    <w:rsid w:val="0047033F"/>
    <w:rsid w:val="00491147"/>
    <w:rsid w:val="004B0212"/>
    <w:rsid w:val="004C14E0"/>
    <w:rsid w:val="004F35CC"/>
    <w:rsid w:val="00502FBC"/>
    <w:rsid w:val="00524F0F"/>
    <w:rsid w:val="00543536"/>
    <w:rsid w:val="0054520B"/>
    <w:rsid w:val="005470E2"/>
    <w:rsid w:val="00557B38"/>
    <w:rsid w:val="00572AB4"/>
    <w:rsid w:val="0057350B"/>
    <w:rsid w:val="005A3C20"/>
    <w:rsid w:val="005A7D04"/>
    <w:rsid w:val="005B1084"/>
    <w:rsid w:val="005B4841"/>
    <w:rsid w:val="005C0C82"/>
    <w:rsid w:val="005E4C3C"/>
    <w:rsid w:val="005F6F1E"/>
    <w:rsid w:val="00602145"/>
    <w:rsid w:val="00623D21"/>
    <w:rsid w:val="00631792"/>
    <w:rsid w:val="00635A6D"/>
    <w:rsid w:val="00664A74"/>
    <w:rsid w:val="006743E2"/>
    <w:rsid w:val="00675D37"/>
    <w:rsid w:val="00682DDE"/>
    <w:rsid w:val="0069734A"/>
    <w:rsid w:val="0069775E"/>
    <w:rsid w:val="006A2B2B"/>
    <w:rsid w:val="006B4547"/>
    <w:rsid w:val="006B48C5"/>
    <w:rsid w:val="006C09B7"/>
    <w:rsid w:val="006C34CB"/>
    <w:rsid w:val="006D26CF"/>
    <w:rsid w:val="006E4799"/>
    <w:rsid w:val="006F3A4B"/>
    <w:rsid w:val="0071520C"/>
    <w:rsid w:val="00720A3A"/>
    <w:rsid w:val="00733614"/>
    <w:rsid w:val="00737055"/>
    <w:rsid w:val="007653BC"/>
    <w:rsid w:val="00766E97"/>
    <w:rsid w:val="00775F86"/>
    <w:rsid w:val="00780682"/>
    <w:rsid w:val="007959E5"/>
    <w:rsid w:val="007A1362"/>
    <w:rsid w:val="007C1BE1"/>
    <w:rsid w:val="007D1597"/>
    <w:rsid w:val="00834F3A"/>
    <w:rsid w:val="008539F3"/>
    <w:rsid w:val="00864154"/>
    <w:rsid w:val="0087292C"/>
    <w:rsid w:val="008869DE"/>
    <w:rsid w:val="00893EE6"/>
    <w:rsid w:val="008A26BA"/>
    <w:rsid w:val="008B76AB"/>
    <w:rsid w:val="008D7FCA"/>
    <w:rsid w:val="0090580F"/>
    <w:rsid w:val="00906143"/>
    <w:rsid w:val="00917700"/>
    <w:rsid w:val="009232D4"/>
    <w:rsid w:val="009350A9"/>
    <w:rsid w:val="0094035B"/>
    <w:rsid w:val="00954D60"/>
    <w:rsid w:val="009751AE"/>
    <w:rsid w:val="0098375D"/>
    <w:rsid w:val="009F10BC"/>
    <w:rsid w:val="00A12443"/>
    <w:rsid w:val="00A23F90"/>
    <w:rsid w:val="00A41979"/>
    <w:rsid w:val="00A47F96"/>
    <w:rsid w:val="00A613A4"/>
    <w:rsid w:val="00A66819"/>
    <w:rsid w:val="00A66D53"/>
    <w:rsid w:val="00A7235E"/>
    <w:rsid w:val="00A74705"/>
    <w:rsid w:val="00A77DD5"/>
    <w:rsid w:val="00A8369E"/>
    <w:rsid w:val="00A90215"/>
    <w:rsid w:val="00A962CF"/>
    <w:rsid w:val="00AA66F0"/>
    <w:rsid w:val="00AA7A82"/>
    <w:rsid w:val="00AD20AA"/>
    <w:rsid w:val="00B042AB"/>
    <w:rsid w:val="00B2047C"/>
    <w:rsid w:val="00B20B21"/>
    <w:rsid w:val="00B24992"/>
    <w:rsid w:val="00B3345C"/>
    <w:rsid w:val="00B43F83"/>
    <w:rsid w:val="00B72921"/>
    <w:rsid w:val="00B878D2"/>
    <w:rsid w:val="00BA3E4D"/>
    <w:rsid w:val="00BB167A"/>
    <w:rsid w:val="00BD4B2E"/>
    <w:rsid w:val="00BD7B7F"/>
    <w:rsid w:val="00BE3BEF"/>
    <w:rsid w:val="00BE51AD"/>
    <w:rsid w:val="00BE6783"/>
    <w:rsid w:val="00BE76C5"/>
    <w:rsid w:val="00BF4C64"/>
    <w:rsid w:val="00BF602B"/>
    <w:rsid w:val="00C00767"/>
    <w:rsid w:val="00C02BE9"/>
    <w:rsid w:val="00C036F0"/>
    <w:rsid w:val="00C070E3"/>
    <w:rsid w:val="00C26349"/>
    <w:rsid w:val="00C31A19"/>
    <w:rsid w:val="00C348DE"/>
    <w:rsid w:val="00C40C91"/>
    <w:rsid w:val="00C72F1D"/>
    <w:rsid w:val="00C8377F"/>
    <w:rsid w:val="00C85839"/>
    <w:rsid w:val="00C96D9C"/>
    <w:rsid w:val="00CB28E5"/>
    <w:rsid w:val="00CB7D9A"/>
    <w:rsid w:val="00CD45D1"/>
    <w:rsid w:val="00CE4969"/>
    <w:rsid w:val="00CF271F"/>
    <w:rsid w:val="00CF72A9"/>
    <w:rsid w:val="00D01003"/>
    <w:rsid w:val="00D0239A"/>
    <w:rsid w:val="00D23302"/>
    <w:rsid w:val="00D52CAC"/>
    <w:rsid w:val="00D625D3"/>
    <w:rsid w:val="00D76369"/>
    <w:rsid w:val="00E12800"/>
    <w:rsid w:val="00E405F5"/>
    <w:rsid w:val="00E40A78"/>
    <w:rsid w:val="00E6378B"/>
    <w:rsid w:val="00E66341"/>
    <w:rsid w:val="00E953C4"/>
    <w:rsid w:val="00EA4C38"/>
    <w:rsid w:val="00EB6EAE"/>
    <w:rsid w:val="00ED610A"/>
    <w:rsid w:val="00EF0DAD"/>
    <w:rsid w:val="00EF0E30"/>
    <w:rsid w:val="00EF6FFA"/>
    <w:rsid w:val="00F207C6"/>
    <w:rsid w:val="00F2434A"/>
    <w:rsid w:val="00F347A5"/>
    <w:rsid w:val="00F378D1"/>
    <w:rsid w:val="00F50828"/>
    <w:rsid w:val="00F5415F"/>
    <w:rsid w:val="00F60758"/>
    <w:rsid w:val="00F8148C"/>
    <w:rsid w:val="00FA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C0043"/>
  <w15:chartTrackingRefBased/>
  <w15:docId w15:val="{3B3D835E-A873-4670-AEE5-ACEA376D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1B"/>
    <w:pPr>
      <w:keepNext/>
      <w:keepLines/>
      <w:numPr>
        <w:numId w:val="12"/>
      </w:numPr>
      <w:spacing w:before="240" w:after="0"/>
      <w:ind w:hanging="72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6F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Dot pt,F5 List Paragraph,List Paragraph1,Numbered Para 1,No Spacing1,List Paragraph Char Char Char,Indicator Text,Bullet Points,MAIN CONTENT,Bullet 1,Colorful List - Accent 11,List Paragraph2,Normal numbered,OBC Bullet,L"/>
    <w:basedOn w:val="Normal"/>
    <w:link w:val="ListParagraphChar"/>
    <w:uiPriority w:val="34"/>
    <w:qFormat/>
    <w:rsid w:val="007959E5"/>
    <w:pPr>
      <w:ind w:left="720"/>
      <w:contextualSpacing/>
    </w:pPr>
  </w:style>
  <w:style w:type="character" w:customStyle="1" w:styleId="ListParagraphChar">
    <w:name w:val="List Paragraph Char"/>
    <w:aliases w:val="List Paragraph11 Char,Dot pt Char,F5 List Paragraph Char,List Paragraph1 Char,Numbered Para 1 Char,No Spacing1 Char,List Paragraph Char Char Char Char,Indicator Text Char,Bullet Points Char,MAIN CONTENT Char,Bullet 1 Char,L Char"/>
    <w:basedOn w:val="DefaultParagraphFont"/>
    <w:link w:val="ListParagraph"/>
    <w:uiPriority w:val="34"/>
    <w:qFormat/>
    <w:rsid w:val="00E405F5"/>
  </w:style>
  <w:style w:type="paragraph" w:styleId="Header">
    <w:name w:val="header"/>
    <w:basedOn w:val="Normal"/>
    <w:link w:val="HeaderChar"/>
    <w:uiPriority w:val="99"/>
    <w:unhideWhenUsed/>
    <w:rsid w:val="001F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62A"/>
  </w:style>
  <w:style w:type="paragraph" w:styleId="Footer">
    <w:name w:val="footer"/>
    <w:basedOn w:val="Normal"/>
    <w:link w:val="FooterChar"/>
    <w:uiPriority w:val="99"/>
    <w:unhideWhenUsed/>
    <w:rsid w:val="001F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62A"/>
  </w:style>
  <w:style w:type="character" w:customStyle="1" w:styleId="normaltextrun">
    <w:name w:val="normaltextrun"/>
    <w:basedOn w:val="DefaultParagraphFont"/>
    <w:rsid w:val="000837B3"/>
  </w:style>
  <w:style w:type="character" w:styleId="CommentReference">
    <w:name w:val="annotation reference"/>
    <w:basedOn w:val="DefaultParagraphFont"/>
    <w:uiPriority w:val="99"/>
    <w:semiHidden/>
    <w:unhideWhenUsed/>
    <w:rsid w:val="0057350B"/>
    <w:rPr>
      <w:sz w:val="16"/>
      <w:szCs w:val="16"/>
    </w:rPr>
  </w:style>
  <w:style w:type="paragraph" w:styleId="CommentText">
    <w:name w:val="annotation text"/>
    <w:basedOn w:val="Normal"/>
    <w:link w:val="CommentTextChar"/>
    <w:uiPriority w:val="99"/>
    <w:semiHidden/>
    <w:unhideWhenUsed/>
    <w:rsid w:val="0057350B"/>
    <w:pPr>
      <w:spacing w:line="240" w:lineRule="auto"/>
    </w:pPr>
    <w:rPr>
      <w:sz w:val="20"/>
      <w:szCs w:val="20"/>
    </w:rPr>
  </w:style>
  <w:style w:type="character" w:customStyle="1" w:styleId="CommentTextChar">
    <w:name w:val="Comment Text Char"/>
    <w:basedOn w:val="DefaultParagraphFont"/>
    <w:link w:val="CommentText"/>
    <w:uiPriority w:val="99"/>
    <w:semiHidden/>
    <w:rsid w:val="0057350B"/>
    <w:rPr>
      <w:sz w:val="20"/>
      <w:szCs w:val="20"/>
    </w:rPr>
  </w:style>
  <w:style w:type="paragraph" w:styleId="CommentSubject">
    <w:name w:val="annotation subject"/>
    <w:basedOn w:val="CommentText"/>
    <w:next w:val="CommentText"/>
    <w:link w:val="CommentSubjectChar"/>
    <w:uiPriority w:val="99"/>
    <w:semiHidden/>
    <w:unhideWhenUsed/>
    <w:rsid w:val="0057350B"/>
    <w:rPr>
      <w:b/>
      <w:bCs/>
    </w:rPr>
  </w:style>
  <w:style w:type="character" w:customStyle="1" w:styleId="CommentSubjectChar">
    <w:name w:val="Comment Subject Char"/>
    <w:basedOn w:val="CommentTextChar"/>
    <w:link w:val="CommentSubject"/>
    <w:uiPriority w:val="99"/>
    <w:semiHidden/>
    <w:rsid w:val="0057350B"/>
    <w:rPr>
      <w:b/>
      <w:bCs/>
      <w:sz w:val="20"/>
      <w:szCs w:val="20"/>
    </w:rPr>
  </w:style>
  <w:style w:type="character" w:styleId="Hyperlink">
    <w:name w:val="Hyperlink"/>
    <w:basedOn w:val="DefaultParagraphFont"/>
    <w:uiPriority w:val="99"/>
    <w:unhideWhenUsed/>
    <w:rsid w:val="008869DE"/>
    <w:rPr>
      <w:color w:val="0000FF" w:themeColor="hyperlink"/>
      <w:u w:val="single"/>
    </w:rPr>
  </w:style>
  <w:style w:type="character" w:styleId="UnresolvedMention">
    <w:name w:val="Unresolved Mention"/>
    <w:basedOn w:val="DefaultParagraphFont"/>
    <w:uiPriority w:val="99"/>
    <w:semiHidden/>
    <w:unhideWhenUsed/>
    <w:rsid w:val="008869DE"/>
    <w:rPr>
      <w:color w:val="605E5C"/>
      <w:shd w:val="clear" w:color="auto" w:fill="E1DFDD"/>
    </w:rPr>
  </w:style>
  <w:style w:type="character" w:customStyle="1" w:styleId="Heading1Char">
    <w:name w:val="Heading 1 Char"/>
    <w:basedOn w:val="DefaultParagraphFont"/>
    <w:link w:val="Heading1"/>
    <w:uiPriority w:val="9"/>
    <w:rsid w:val="00196E1B"/>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5F6F1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CB28E5"/>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CB28E5"/>
    <w:pPr>
      <w:spacing w:after="100"/>
    </w:pPr>
  </w:style>
  <w:style w:type="paragraph" w:styleId="TOC2">
    <w:name w:val="toc 2"/>
    <w:basedOn w:val="Normal"/>
    <w:next w:val="Normal"/>
    <w:autoRedefine/>
    <w:uiPriority w:val="39"/>
    <w:unhideWhenUsed/>
    <w:rsid w:val="00CB28E5"/>
    <w:pPr>
      <w:spacing w:after="100"/>
      <w:ind w:left="220"/>
    </w:pPr>
  </w:style>
  <w:style w:type="paragraph" w:styleId="FootnoteText">
    <w:name w:val="footnote text"/>
    <w:basedOn w:val="Normal"/>
    <w:link w:val="FootnoteTextChar"/>
    <w:uiPriority w:val="99"/>
    <w:semiHidden/>
    <w:unhideWhenUsed/>
    <w:rsid w:val="001B11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1B1"/>
    <w:rPr>
      <w:sz w:val="20"/>
      <w:szCs w:val="20"/>
    </w:rPr>
  </w:style>
  <w:style w:type="character" w:styleId="FootnoteReference">
    <w:name w:val="footnote reference"/>
    <w:basedOn w:val="DefaultParagraphFont"/>
    <w:uiPriority w:val="99"/>
    <w:semiHidden/>
    <w:unhideWhenUsed/>
    <w:rsid w:val="001B11B1"/>
    <w:rPr>
      <w:vertAlign w:val="superscript"/>
    </w:rPr>
  </w:style>
  <w:style w:type="character" w:styleId="Strong">
    <w:name w:val="Strong"/>
    <w:basedOn w:val="DefaultParagraphFont"/>
    <w:uiPriority w:val="22"/>
    <w:qFormat/>
    <w:rsid w:val="00720A3A"/>
    <w:rPr>
      <w:b/>
      <w:bCs/>
    </w:rPr>
  </w:style>
  <w:style w:type="character" w:styleId="FollowedHyperlink">
    <w:name w:val="FollowedHyperlink"/>
    <w:basedOn w:val="DefaultParagraphFont"/>
    <w:uiPriority w:val="99"/>
    <w:semiHidden/>
    <w:unhideWhenUsed/>
    <w:rsid w:val="0069734A"/>
    <w:rPr>
      <w:color w:val="800080" w:themeColor="followedHyperlink"/>
      <w:u w:val="single"/>
    </w:rPr>
  </w:style>
  <w:style w:type="table" w:styleId="TableGrid">
    <w:name w:val="Table Grid"/>
    <w:basedOn w:val="TableNormal"/>
    <w:uiPriority w:val="59"/>
    <w:rsid w:val="0069734A"/>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0140">
      <w:bodyDiv w:val="1"/>
      <w:marLeft w:val="0"/>
      <w:marRight w:val="0"/>
      <w:marTop w:val="0"/>
      <w:marBottom w:val="0"/>
      <w:divBdr>
        <w:top w:val="none" w:sz="0" w:space="0" w:color="auto"/>
        <w:left w:val="none" w:sz="0" w:space="0" w:color="auto"/>
        <w:bottom w:val="none" w:sz="0" w:space="0" w:color="auto"/>
        <w:right w:val="none" w:sz="0" w:space="0" w:color="auto"/>
      </w:divBdr>
    </w:div>
    <w:div w:id="920869308">
      <w:bodyDiv w:val="1"/>
      <w:marLeft w:val="0"/>
      <w:marRight w:val="0"/>
      <w:marTop w:val="0"/>
      <w:marBottom w:val="0"/>
      <w:divBdr>
        <w:top w:val="none" w:sz="0" w:space="0" w:color="auto"/>
        <w:left w:val="none" w:sz="0" w:space="0" w:color="auto"/>
        <w:bottom w:val="none" w:sz="0" w:space="0" w:color="auto"/>
        <w:right w:val="none" w:sz="0" w:space="0" w:color="auto"/>
      </w:divBdr>
    </w:div>
    <w:div w:id="2007707786">
      <w:bodyDiv w:val="1"/>
      <w:marLeft w:val="0"/>
      <w:marRight w:val="0"/>
      <w:marTop w:val="0"/>
      <w:marBottom w:val="0"/>
      <w:divBdr>
        <w:top w:val="none" w:sz="0" w:space="0" w:color="auto"/>
        <w:left w:val="none" w:sz="0" w:space="0" w:color="auto"/>
        <w:bottom w:val="none" w:sz="0" w:space="0" w:color="auto"/>
        <w:right w:val="none" w:sz="0" w:space="0" w:color="auto"/>
      </w:divBdr>
      <w:divsChild>
        <w:div w:id="114597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andmerseyside.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pp.powerbi.com/view?r=eyJrIjoiOTdjYzIyNTMtMTcxNi00YmQ2LWI1YzgtMTUyYzMxOWQ3NzQ2IiwidCI6ImJmMzQ2ODEwLTljN2QtNDNkZS1hODcyLTI0YTJlZjM5OTVhOCJ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rpool.gov.uk/council/key-statistics-and-data/ward-information/ward-profi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B3C727763614FB0A80309F9DE3F8E" ma:contentTypeVersion="7" ma:contentTypeDescription="Create a new document." ma:contentTypeScope="" ma:versionID="44f5ad940bb99142572e56dd980a931f">
  <xsd:schema xmlns:xsd="http://www.w3.org/2001/XMLSchema" xmlns:xs="http://www.w3.org/2001/XMLSchema" xmlns:p="http://schemas.microsoft.com/office/2006/metadata/properties" xmlns:ns3="e878bf5a-8bcf-404d-bace-337af4b85d6d" xmlns:ns4="76238aba-d544-4f4a-8a66-c1c6b8d9ada3" targetNamespace="http://schemas.microsoft.com/office/2006/metadata/properties" ma:root="true" ma:fieldsID="96d553a4085aa946cfc73732b7b7d8fe" ns3:_="" ns4:_="">
    <xsd:import namespace="e878bf5a-8bcf-404d-bace-337af4b85d6d"/>
    <xsd:import namespace="76238aba-d544-4f4a-8a66-c1c6b8d9ad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8bf5a-8bcf-404d-bace-337af4b85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38aba-d544-4f4a-8a66-c1c6b8d9ad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878bf5a-8bcf-404d-bace-337af4b85d6d" xsi:nil="true"/>
  </documentManagement>
</p:properties>
</file>

<file path=customXml/itemProps1.xml><?xml version="1.0" encoding="utf-8"?>
<ds:datastoreItem xmlns:ds="http://schemas.openxmlformats.org/officeDocument/2006/customXml" ds:itemID="{F1E1F192-6187-4A83-9D2A-F54421A89716}">
  <ds:schemaRefs>
    <ds:schemaRef ds:uri="http://schemas.openxmlformats.org/officeDocument/2006/bibliography"/>
  </ds:schemaRefs>
</ds:datastoreItem>
</file>

<file path=customXml/itemProps2.xml><?xml version="1.0" encoding="utf-8"?>
<ds:datastoreItem xmlns:ds="http://schemas.openxmlformats.org/officeDocument/2006/customXml" ds:itemID="{48F72AB0-2B82-457E-85AB-A9BCAAE7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8bf5a-8bcf-404d-bace-337af4b85d6d"/>
    <ds:schemaRef ds:uri="76238aba-d544-4f4a-8a66-c1c6b8d9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34A11-E55F-43DD-85B5-3DAA5EEBF2EE}">
  <ds:schemaRefs>
    <ds:schemaRef ds:uri="http://schemas.microsoft.com/sharepoint/v3/contenttype/forms"/>
  </ds:schemaRefs>
</ds:datastoreItem>
</file>

<file path=customXml/itemProps4.xml><?xml version="1.0" encoding="utf-8"?>
<ds:datastoreItem xmlns:ds="http://schemas.openxmlformats.org/officeDocument/2006/customXml" ds:itemID="{569E304D-4CA4-4ABA-9B5B-95AE274E154A}">
  <ds:schemaRefs>
    <ds:schemaRef ds:uri="http://purl.org/dc/dcmitype/"/>
    <ds:schemaRef ds:uri="e878bf5a-8bcf-404d-bace-337af4b85d6d"/>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76238aba-d544-4f4a-8a66-c1c6b8d9ada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1924</Words>
  <Characters>10968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Dewar</dc:creator>
  <cp:keywords/>
  <dc:description/>
  <cp:lastModifiedBy>Sarah Dewar</cp:lastModifiedBy>
  <cp:revision>2</cp:revision>
  <cp:lastPrinted>2023-12-15T10:21:00Z</cp:lastPrinted>
  <dcterms:created xsi:type="dcterms:W3CDTF">2023-12-21T09:28:00Z</dcterms:created>
  <dcterms:modified xsi:type="dcterms:W3CDTF">2023-12-21T09:28:00Z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0x010100047B3C727763614FB0A80309F9DE3F8E</vt:lpwstr>
  </property>
</Properties>
</file>